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CCC" w:rsidRPr="00361AAC" w:rsidRDefault="004D0CCC" w:rsidP="004D0CCC">
      <w:pPr>
        <w:pStyle w:val="Heading3"/>
        <w:rPr>
          <w:rFonts w:cs="Arial"/>
        </w:rPr>
      </w:pPr>
      <w:bookmarkStart w:id="0" w:name="_Toc345688137"/>
      <w:bookmarkStart w:id="1" w:name="_Toc350352011"/>
      <w:bookmarkStart w:id="2" w:name="_Toc476818662"/>
      <w:r>
        <w:rPr>
          <w:rFonts w:cs="Arial"/>
          <w:szCs w:val="24"/>
        </w:rPr>
        <w:t>TIRS</w:t>
      </w:r>
      <w:r w:rsidRPr="00361AAC">
        <w:rPr>
          <w:rFonts w:cs="Arial"/>
          <w:szCs w:val="24"/>
        </w:rPr>
        <w:t xml:space="preserve"> Bias Removal</w:t>
      </w:r>
      <w:bookmarkEnd w:id="0"/>
      <w:bookmarkEnd w:id="1"/>
      <w:bookmarkEnd w:id="2"/>
    </w:p>
    <w:p w:rsidR="004D0CCC" w:rsidRPr="00361AAC" w:rsidRDefault="004D0CCC" w:rsidP="004D0CCC">
      <w:pPr>
        <w:pStyle w:val="Heading4"/>
        <w:rPr>
          <w:rFonts w:cs="Arial"/>
        </w:rPr>
      </w:pPr>
      <w:bookmarkStart w:id="3" w:name="_Toc345688138"/>
      <w:r w:rsidRPr="00361AAC">
        <w:rPr>
          <w:rFonts w:cs="Arial"/>
        </w:rPr>
        <w:t>Background</w:t>
      </w:r>
      <w:bookmarkEnd w:id="3"/>
    </w:p>
    <w:p w:rsidR="004D0CCC" w:rsidRPr="00361AAC" w:rsidRDefault="004D0CCC" w:rsidP="004D0CCC">
      <w:pPr>
        <w:rPr>
          <w:rFonts w:cs="Arial"/>
        </w:rPr>
      </w:pPr>
      <w:r w:rsidRPr="00361AAC">
        <w:rPr>
          <w:rFonts w:cs="Arial"/>
        </w:rPr>
        <w:t>Conversion from instrument digital counts (DN) to radiance (W/m^</w:t>
      </w:r>
      <w:r w:rsidRPr="00361AAC">
        <w:rPr>
          <w:rFonts w:cs="Arial"/>
          <w:vertAlign w:val="superscript"/>
        </w:rPr>
        <w:t>2</w:t>
      </w:r>
      <w:r w:rsidRPr="00361AAC">
        <w:rPr>
          <w:rFonts w:cs="Arial"/>
        </w:rPr>
        <w:t xml:space="preserve">-sr-µm) occurs in 3 steps: response linearization, bias removal, and gain application.  The second step (bias removal) is described in this document.  Although the name implies this algorithm just removes the detector bias, it actually removes the dark response and background response (which can come from the dark and background response determination algorithms or from per detector means of deep space look collects), as well as an offset that is part of the gain function that converts linearized, background subtracted DN to radiance.  Note that the order of these three steps is different than </w:t>
      </w:r>
      <w:r>
        <w:rPr>
          <w:rFonts w:cs="Arial"/>
        </w:rPr>
        <w:t>OLI</w:t>
      </w:r>
      <w:r w:rsidRPr="00361AAC">
        <w:rPr>
          <w:rFonts w:cs="Arial"/>
        </w:rPr>
        <w:t xml:space="preserve"> because the “bias” being removed is a function of detector voltage and temperature and must be linearized before being subtracted.</w:t>
      </w:r>
    </w:p>
    <w:p w:rsidR="004D0CCC" w:rsidRPr="00361AAC" w:rsidRDefault="004D0CCC" w:rsidP="004D0CCC">
      <w:pPr>
        <w:rPr>
          <w:rFonts w:cs="Arial"/>
        </w:rPr>
      </w:pPr>
    </w:p>
    <w:p w:rsidR="004D0CCC" w:rsidRPr="00361AAC" w:rsidRDefault="004D0CCC" w:rsidP="004D0CCC">
      <w:pPr>
        <w:rPr>
          <w:rFonts w:cs="Arial"/>
        </w:rPr>
      </w:pPr>
      <w:r w:rsidRPr="00361AAC">
        <w:rPr>
          <w:rFonts w:cs="Arial"/>
        </w:rPr>
        <w:t xml:space="preserve">Bias removal is accomplished by subtracting a value (in linearized DN) from each pixel of the input image.  This value varies by detector for all bands.  The values are determined initially during ground testing and made available via the CPF.  In-flight calibration observations (space-look data) can be used to verify the per-detector background signal and adjust the CPF periodically if necessary.  </w:t>
      </w:r>
    </w:p>
    <w:p w:rsidR="004D0CCC" w:rsidRPr="00361AAC" w:rsidRDefault="004D0CCC" w:rsidP="004D0CCC">
      <w:pPr>
        <w:pStyle w:val="Heading4"/>
        <w:rPr>
          <w:rFonts w:cs="Arial"/>
        </w:rPr>
      </w:pPr>
      <w:bookmarkStart w:id="4" w:name="_Toc345688139"/>
      <w:r w:rsidRPr="00361AAC">
        <w:rPr>
          <w:rFonts w:cs="Arial"/>
        </w:rPr>
        <w:t>Input</w:t>
      </w:r>
      <w:bookmarkEnd w:id="4"/>
    </w:p>
    <w:tbl>
      <w:tblPr>
        <w:tblW w:w="81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700"/>
        <w:gridCol w:w="1080"/>
        <w:gridCol w:w="900"/>
        <w:gridCol w:w="900"/>
        <w:gridCol w:w="1620"/>
        <w:gridCol w:w="900"/>
      </w:tblGrid>
      <w:tr w:rsidR="004D0CCC" w:rsidRPr="00361AAC" w:rsidTr="00132F6D">
        <w:trPr>
          <w:trHeight w:val="320"/>
          <w:jc w:val="center"/>
        </w:trPr>
        <w:tc>
          <w:tcPr>
            <w:tcW w:w="2700" w:type="dxa"/>
            <w:shd w:val="clear" w:color="auto" w:fill="auto"/>
            <w:noWrap/>
            <w:vAlign w:val="bottom"/>
          </w:tcPr>
          <w:p w:rsidR="004D0CCC" w:rsidRPr="00361AAC" w:rsidRDefault="004D0CCC" w:rsidP="00132F6D">
            <w:pPr>
              <w:jc w:val="center"/>
              <w:rPr>
                <w:rFonts w:cs="Arial"/>
                <w:b/>
                <w:sz w:val="20"/>
                <w:szCs w:val="20"/>
              </w:rPr>
            </w:pPr>
            <w:r w:rsidRPr="00361AAC">
              <w:rPr>
                <w:rFonts w:cs="Arial"/>
                <w:b/>
                <w:sz w:val="20"/>
                <w:szCs w:val="20"/>
              </w:rPr>
              <w:t>Description</w:t>
            </w:r>
          </w:p>
        </w:tc>
        <w:tc>
          <w:tcPr>
            <w:tcW w:w="1080" w:type="dxa"/>
            <w:vAlign w:val="bottom"/>
          </w:tcPr>
          <w:p w:rsidR="004D0CCC" w:rsidRPr="00361AAC" w:rsidRDefault="004D0CCC" w:rsidP="00132F6D">
            <w:pPr>
              <w:jc w:val="center"/>
              <w:rPr>
                <w:rFonts w:cs="Arial"/>
                <w:b/>
                <w:sz w:val="20"/>
                <w:szCs w:val="20"/>
              </w:rPr>
            </w:pPr>
            <w:r w:rsidRPr="00361AAC">
              <w:rPr>
                <w:rFonts w:cs="Arial"/>
                <w:b/>
                <w:sz w:val="20"/>
                <w:szCs w:val="20"/>
              </w:rPr>
              <w:t>Symbol</w:t>
            </w:r>
          </w:p>
        </w:tc>
        <w:tc>
          <w:tcPr>
            <w:tcW w:w="900" w:type="dxa"/>
            <w:vAlign w:val="bottom"/>
          </w:tcPr>
          <w:p w:rsidR="004D0CCC" w:rsidRPr="00361AAC" w:rsidRDefault="004D0CCC" w:rsidP="00132F6D">
            <w:pPr>
              <w:jc w:val="center"/>
              <w:rPr>
                <w:rFonts w:cs="Arial"/>
                <w:b/>
                <w:sz w:val="20"/>
                <w:szCs w:val="20"/>
              </w:rPr>
            </w:pPr>
            <w:r w:rsidRPr="00361AAC">
              <w:rPr>
                <w:rFonts w:cs="Arial"/>
                <w:b/>
                <w:sz w:val="20"/>
                <w:szCs w:val="20"/>
              </w:rPr>
              <w:t>Units</w:t>
            </w:r>
          </w:p>
        </w:tc>
        <w:tc>
          <w:tcPr>
            <w:tcW w:w="900" w:type="dxa"/>
            <w:shd w:val="clear" w:color="auto" w:fill="auto"/>
            <w:noWrap/>
            <w:vAlign w:val="bottom"/>
          </w:tcPr>
          <w:p w:rsidR="004D0CCC" w:rsidRPr="00361AAC" w:rsidRDefault="004D0CCC" w:rsidP="00132F6D">
            <w:pPr>
              <w:jc w:val="center"/>
              <w:rPr>
                <w:rFonts w:cs="Arial"/>
                <w:b/>
                <w:sz w:val="20"/>
                <w:szCs w:val="20"/>
              </w:rPr>
            </w:pPr>
            <w:r w:rsidRPr="00361AAC">
              <w:rPr>
                <w:rFonts w:cs="Arial"/>
                <w:b/>
                <w:sz w:val="20"/>
                <w:szCs w:val="20"/>
              </w:rPr>
              <w:t>Level</w:t>
            </w:r>
          </w:p>
        </w:tc>
        <w:tc>
          <w:tcPr>
            <w:tcW w:w="1620" w:type="dxa"/>
            <w:shd w:val="clear" w:color="auto" w:fill="auto"/>
            <w:noWrap/>
            <w:vAlign w:val="bottom"/>
          </w:tcPr>
          <w:p w:rsidR="004D0CCC" w:rsidRPr="00361AAC" w:rsidRDefault="004D0CCC" w:rsidP="00132F6D">
            <w:pPr>
              <w:jc w:val="center"/>
              <w:rPr>
                <w:rFonts w:cs="Arial"/>
                <w:b/>
                <w:sz w:val="20"/>
                <w:szCs w:val="20"/>
              </w:rPr>
            </w:pPr>
            <w:r w:rsidRPr="00361AAC">
              <w:rPr>
                <w:rFonts w:cs="Arial"/>
                <w:b/>
                <w:sz w:val="20"/>
                <w:szCs w:val="20"/>
              </w:rPr>
              <w:t>Source</w:t>
            </w:r>
          </w:p>
        </w:tc>
        <w:tc>
          <w:tcPr>
            <w:tcW w:w="900" w:type="dxa"/>
            <w:shd w:val="clear" w:color="auto" w:fill="auto"/>
            <w:noWrap/>
            <w:vAlign w:val="bottom"/>
          </w:tcPr>
          <w:p w:rsidR="004D0CCC" w:rsidRPr="00361AAC" w:rsidRDefault="004D0CCC" w:rsidP="00132F6D">
            <w:pPr>
              <w:jc w:val="center"/>
              <w:rPr>
                <w:rFonts w:cs="Arial"/>
                <w:b/>
                <w:sz w:val="20"/>
                <w:szCs w:val="20"/>
              </w:rPr>
            </w:pPr>
            <w:r w:rsidRPr="00361AAC">
              <w:rPr>
                <w:rFonts w:cs="Arial"/>
                <w:b/>
                <w:sz w:val="20"/>
                <w:szCs w:val="20"/>
              </w:rPr>
              <w:t>Type</w:t>
            </w:r>
          </w:p>
        </w:tc>
      </w:tr>
      <w:tr w:rsidR="004D0CCC" w:rsidRPr="00361AAC" w:rsidTr="00132F6D">
        <w:trPr>
          <w:trHeight w:val="300"/>
          <w:jc w:val="center"/>
        </w:trPr>
        <w:tc>
          <w:tcPr>
            <w:tcW w:w="2700" w:type="dxa"/>
            <w:shd w:val="clear" w:color="auto" w:fill="auto"/>
            <w:noWrap/>
            <w:vAlign w:val="bottom"/>
          </w:tcPr>
          <w:p w:rsidR="004D0CCC" w:rsidRPr="00361AAC" w:rsidRDefault="004D0CCC" w:rsidP="00132F6D">
            <w:pPr>
              <w:rPr>
                <w:rFonts w:cs="Arial"/>
                <w:sz w:val="20"/>
                <w:szCs w:val="20"/>
              </w:rPr>
            </w:pPr>
            <w:r w:rsidRPr="00361AAC">
              <w:rPr>
                <w:rFonts w:cs="Arial"/>
                <w:sz w:val="20"/>
                <w:szCs w:val="20"/>
              </w:rPr>
              <w:t>Scene (Linearized DN)</w:t>
            </w:r>
          </w:p>
        </w:tc>
        <w:tc>
          <w:tcPr>
            <w:tcW w:w="1080" w:type="dxa"/>
            <w:vAlign w:val="bottom"/>
          </w:tcPr>
          <w:p w:rsidR="004D0CCC" w:rsidRPr="00361AAC" w:rsidRDefault="004D0CCC" w:rsidP="00132F6D">
            <w:pPr>
              <w:rPr>
                <w:rFonts w:cs="Arial"/>
                <w:sz w:val="20"/>
                <w:szCs w:val="20"/>
              </w:rPr>
            </w:pPr>
            <w:r w:rsidRPr="00361AAC">
              <w:rPr>
                <w:rFonts w:cs="Arial"/>
                <w:sz w:val="20"/>
                <w:szCs w:val="20"/>
              </w:rPr>
              <w:t>Q</w:t>
            </w:r>
            <w:r w:rsidRPr="00361AAC">
              <w:rPr>
                <w:rFonts w:cs="Arial"/>
                <w:sz w:val="20"/>
                <w:szCs w:val="20"/>
                <w:vertAlign w:val="subscript"/>
              </w:rPr>
              <w:t>L</w:t>
            </w:r>
          </w:p>
        </w:tc>
        <w:tc>
          <w:tcPr>
            <w:tcW w:w="900" w:type="dxa"/>
            <w:vAlign w:val="bottom"/>
          </w:tcPr>
          <w:p w:rsidR="004D0CCC" w:rsidRPr="00361AAC" w:rsidRDefault="004D0CCC" w:rsidP="00132F6D">
            <w:pPr>
              <w:rPr>
                <w:rFonts w:cs="Arial"/>
                <w:sz w:val="20"/>
                <w:szCs w:val="20"/>
              </w:rPr>
            </w:pPr>
            <w:r w:rsidRPr="00361AAC">
              <w:rPr>
                <w:rFonts w:cs="Arial"/>
                <w:sz w:val="20"/>
                <w:szCs w:val="20"/>
              </w:rPr>
              <w:t>DN</w:t>
            </w:r>
          </w:p>
        </w:tc>
        <w:tc>
          <w:tcPr>
            <w:tcW w:w="900" w:type="dxa"/>
            <w:shd w:val="clear" w:color="auto" w:fill="auto"/>
            <w:noWrap/>
            <w:vAlign w:val="bottom"/>
          </w:tcPr>
          <w:p w:rsidR="004D0CCC" w:rsidRPr="00361AAC" w:rsidRDefault="004D0CCC"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w:t>
            </w:r>
            <w:proofErr w:type="spellEnd"/>
            <w:r w:rsidRPr="00361AAC">
              <w:rPr>
                <w:rFonts w:cs="Arial"/>
                <w:sz w:val="20"/>
                <w:szCs w:val="20"/>
              </w:rPr>
              <w:t xml:space="preserve"> x N</w:t>
            </w:r>
            <w:r w:rsidRPr="00361AAC">
              <w:rPr>
                <w:rFonts w:cs="Arial"/>
                <w:sz w:val="20"/>
                <w:szCs w:val="20"/>
                <w:vertAlign w:val="subscript"/>
              </w:rPr>
              <w:t>SCA</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w:t>
            </w:r>
            <w:proofErr w:type="spellEnd"/>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frames</w:t>
            </w:r>
            <w:proofErr w:type="spellEnd"/>
          </w:p>
        </w:tc>
        <w:tc>
          <w:tcPr>
            <w:tcW w:w="1620" w:type="dxa"/>
            <w:shd w:val="clear" w:color="auto" w:fill="auto"/>
            <w:noWrap/>
            <w:vAlign w:val="bottom"/>
          </w:tcPr>
          <w:p w:rsidR="004D0CCC" w:rsidRPr="00361AAC" w:rsidRDefault="004D0CCC" w:rsidP="00132F6D">
            <w:pPr>
              <w:rPr>
                <w:rFonts w:cs="Arial"/>
                <w:sz w:val="20"/>
                <w:szCs w:val="20"/>
              </w:rPr>
            </w:pPr>
            <w:r w:rsidRPr="00361AAC">
              <w:rPr>
                <w:rFonts w:cs="Arial"/>
                <w:sz w:val="20"/>
                <w:szCs w:val="20"/>
              </w:rPr>
              <w:t>Response Linearization</w:t>
            </w:r>
          </w:p>
        </w:tc>
        <w:tc>
          <w:tcPr>
            <w:tcW w:w="900" w:type="dxa"/>
            <w:shd w:val="clear" w:color="auto" w:fill="auto"/>
            <w:noWrap/>
            <w:vAlign w:val="bottom"/>
          </w:tcPr>
          <w:p w:rsidR="004D0CCC" w:rsidRPr="00361AAC" w:rsidRDefault="004D0CCC" w:rsidP="00132F6D">
            <w:pPr>
              <w:rPr>
                <w:rFonts w:cs="Arial"/>
                <w:sz w:val="20"/>
                <w:szCs w:val="20"/>
              </w:rPr>
            </w:pPr>
            <w:r w:rsidRPr="00361AAC">
              <w:rPr>
                <w:rFonts w:cs="Arial"/>
                <w:sz w:val="20"/>
                <w:szCs w:val="20"/>
              </w:rPr>
              <w:t>Float</w:t>
            </w:r>
          </w:p>
        </w:tc>
      </w:tr>
      <w:tr w:rsidR="004D0CCC" w:rsidRPr="00361AAC" w:rsidTr="00132F6D">
        <w:trPr>
          <w:trHeight w:val="300"/>
          <w:jc w:val="center"/>
        </w:trPr>
        <w:tc>
          <w:tcPr>
            <w:tcW w:w="2700" w:type="dxa"/>
            <w:shd w:val="clear" w:color="auto" w:fill="auto"/>
            <w:noWrap/>
            <w:vAlign w:val="bottom"/>
          </w:tcPr>
          <w:p w:rsidR="004D0CCC" w:rsidRPr="00361AAC" w:rsidRDefault="004D0CCC" w:rsidP="00132F6D">
            <w:pPr>
              <w:rPr>
                <w:rFonts w:cs="Arial"/>
                <w:sz w:val="20"/>
                <w:szCs w:val="20"/>
              </w:rPr>
            </w:pPr>
            <w:r w:rsidRPr="00361AAC">
              <w:rPr>
                <w:rFonts w:cs="Arial"/>
                <w:sz w:val="20"/>
                <w:szCs w:val="20"/>
              </w:rPr>
              <w:t>Pre-acquisition Deep Space Averages</w:t>
            </w:r>
          </w:p>
        </w:tc>
        <w:tc>
          <w:tcPr>
            <w:tcW w:w="1080" w:type="dxa"/>
            <w:vAlign w:val="bottom"/>
          </w:tcPr>
          <w:p w:rsidR="004D0CCC" w:rsidRPr="00361AAC" w:rsidRDefault="004D0CCC" w:rsidP="00132F6D">
            <w:pPr>
              <w:rPr>
                <w:rFonts w:cs="Arial"/>
                <w:sz w:val="20"/>
                <w:szCs w:val="20"/>
              </w:rPr>
            </w:pPr>
            <w:r w:rsidRPr="00361AAC">
              <w:rPr>
                <w:rFonts w:cs="Arial"/>
                <w:sz w:val="20"/>
                <w:szCs w:val="20"/>
              </w:rPr>
              <w:t>S</w:t>
            </w:r>
            <w:r w:rsidRPr="00361AAC">
              <w:rPr>
                <w:rFonts w:cs="Arial"/>
                <w:sz w:val="20"/>
                <w:szCs w:val="20"/>
                <w:vertAlign w:val="subscript"/>
              </w:rPr>
              <w:t>a</w:t>
            </w:r>
          </w:p>
        </w:tc>
        <w:tc>
          <w:tcPr>
            <w:tcW w:w="900" w:type="dxa"/>
            <w:vAlign w:val="bottom"/>
          </w:tcPr>
          <w:p w:rsidR="004D0CCC" w:rsidRPr="00361AAC" w:rsidRDefault="004D0CCC" w:rsidP="00132F6D">
            <w:pPr>
              <w:rPr>
                <w:rFonts w:cs="Arial"/>
                <w:sz w:val="20"/>
                <w:szCs w:val="20"/>
              </w:rPr>
            </w:pPr>
            <w:r w:rsidRPr="00361AAC">
              <w:rPr>
                <w:rFonts w:cs="Arial"/>
                <w:sz w:val="20"/>
                <w:szCs w:val="20"/>
              </w:rPr>
              <w:t>DN</w:t>
            </w:r>
          </w:p>
        </w:tc>
        <w:tc>
          <w:tcPr>
            <w:tcW w:w="900" w:type="dxa"/>
            <w:shd w:val="clear" w:color="auto" w:fill="auto"/>
            <w:noWrap/>
            <w:vAlign w:val="bottom"/>
          </w:tcPr>
          <w:p w:rsidR="004D0CCC" w:rsidRPr="00361AAC" w:rsidRDefault="004D0CCC"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w:t>
            </w:r>
            <w:proofErr w:type="spellEnd"/>
            <w:r w:rsidRPr="00361AAC">
              <w:rPr>
                <w:rFonts w:cs="Arial"/>
                <w:sz w:val="20"/>
                <w:szCs w:val="20"/>
              </w:rPr>
              <w:t xml:space="preserve"> x N</w:t>
            </w:r>
            <w:r w:rsidRPr="00361AAC">
              <w:rPr>
                <w:rFonts w:cs="Arial"/>
                <w:sz w:val="20"/>
                <w:szCs w:val="20"/>
                <w:vertAlign w:val="subscript"/>
              </w:rPr>
              <w:t>SCA</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w:t>
            </w:r>
            <w:proofErr w:type="spellEnd"/>
          </w:p>
        </w:tc>
        <w:tc>
          <w:tcPr>
            <w:tcW w:w="1620" w:type="dxa"/>
            <w:shd w:val="clear" w:color="auto" w:fill="auto"/>
            <w:noWrap/>
            <w:vAlign w:val="bottom"/>
          </w:tcPr>
          <w:p w:rsidR="004D0CCC" w:rsidRPr="00361AAC" w:rsidRDefault="004D0CCC" w:rsidP="00132F6D">
            <w:pPr>
              <w:rPr>
                <w:rFonts w:cs="Arial"/>
                <w:sz w:val="20"/>
                <w:szCs w:val="20"/>
              </w:rPr>
            </w:pPr>
            <w:r w:rsidRPr="00361AAC">
              <w:rPr>
                <w:rFonts w:cs="Arial"/>
                <w:sz w:val="20"/>
                <w:szCs w:val="20"/>
              </w:rPr>
              <w:t>BPF</w:t>
            </w:r>
          </w:p>
        </w:tc>
        <w:tc>
          <w:tcPr>
            <w:tcW w:w="900" w:type="dxa"/>
            <w:shd w:val="clear" w:color="auto" w:fill="auto"/>
            <w:noWrap/>
            <w:vAlign w:val="bottom"/>
          </w:tcPr>
          <w:p w:rsidR="004D0CCC" w:rsidRPr="00361AAC" w:rsidRDefault="004D0CCC" w:rsidP="00132F6D">
            <w:pPr>
              <w:rPr>
                <w:rFonts w:cs="Arial"/>
                <w:sz w:val="20"/>
                <w:szCs w:val="20"/>
              </w:rPr>
            </w:pPr>
            <w:r w:rsidRPr="00361AAC">
              <w:rPr>
                <w:rFonts w:cs="Arial"/>
                <w:sz w:val="20"/>
                <w:szCs w:val="20"/>
              </w:rPr>
              <w:t>Float</w:t>
            </w:r>
          </w:p>
        </w:tc>
      </w:tr>
      <w:tr w:rsidR="004D0CCC" w:rsidRPr="00361AAC" w:rsidTr="00132F6D">
        <w:trPr>
          <w:trHeight w:val="320"/>
          <w:jc w:val="center"/>
        </w:trPr>
        <w:tc>
          <w:tcPr>
            <w:tcW w:w="2700" w:type="dxa"/>
            <w:shd w:val="clear" w:color="auto" w:fill="auto"/>
            <w:noWrap/>
            <w:vAlign w:val="bottom"/>
          </w:tcPr>
          <w:p w:rsidR="004D0CCC" w:rsidRPr="00361AAC" w:rsidRDefault="004D0CCC" w:rsidP="00132F6D">
            <w:pPr>
              <w:rPr>
                <w:rFonts w:cs="Arial"/>
                <w:sz w:val="20"/>
                <w:szCs w:val="20"/>
              </w:rPr>
            </w:pPr>
            <w:r w:rsidRPr="00361AAC">
              <w:rPr>
                <w:rFonts w:cs="Arial"/>
                <w:sz w:val="20"/>
                <w:szCs w:val="20"/>
              </w:rPr>
              <w:t>Post-acquisition Deep Space Averages</w:t>
            </w:r>
          </w:p>
        </w:tc>
        <w:tc>
          <w:tcPr>
            <w:tcW w:w="1080" w:type="dxa"/>
            <w:vAlign w:val="bottom"/>
          </w:tcPr>
          <w:p w:rsidR="004D0CCC" w:rsidRPr="00361AAC" w:rsidRDefault="004D0CCC" w:rsidP="00132F6D">
            <w:pPr>
              <w:rPr>
                <w:rFonts w:cs="Arial"/>
                <w:sz w:val="20"/>
                <w:szCs w:val="20"/>
              </w:rPr>
            </w:pPr>
            <w:r w:rsidRPr="00361AAC">
              <w:rPr>
                <w:rFonts w:cs="Arial"/>
                <w:sz w:val="20"/>
                <w:szCs w:val="20"/>
              </w:rPr>
              <w:t>S</w:t>
            </w:r>
            <w:r w:rsidRPr="00361AAC">
              <w:rPr>
                <w:rFonts w:cs="Arial"/>
                <w:sz w:val="20"/>
                <w:szCs w:val="20"/>
                <w:vertAlign w:val="subscript"/>
              </w:rPr>
              <w:t>b</w:t>
            </w:r>
          </w:p>
        </w:tc>
        <w:tc>
          <w:tcPr>
            <w:tcW w:w="900" w:type="dxa"/>
            <w:vAlign w:val="bottom"/>
          </w:tcPr>
          <w:p w:rsidR="004D0CCC" w:rsidRPr="00361AAC" w:rsidRDefault="004D0CCC" w:rsidP="00132F6D">
            <w:pPr>
              <w:rPr>
                <w:rFonts w:cs="Arial"/>
                <w:sz w:val="20"/>
                <w:szCs w:val="20"/>
              </w:rPr>
            </w:pPr>
            <w:r w:rsidRPr="00361AAC">
              <w:rPr>
                <w:rFonts w:cs="Arial"/>
                <w:sz w:val="20"/>
                <w:szCs w:val="20"/>
              </w:rPr>
              <w:t>DN</w:t>
            </w:r>
          </w:p>
        </w:tc>
        <w:tc>
          <w:tcPr>
            <w:tcW w:w="900" w:type="dxa"/>
            <w:shd w:val="clear" w:color="auto" w:fill="auto"/>
            <w:noWrap/>
            <w:vAlign w:val="bottom"/>
          </w:tcPr>
          <w:p w:rsidR="004D0CCC" w:rsidRPr="00361AAC" w:rsidRDefault="004D0CCC"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w:t>
            </w:r>
            <w:proofErr w:type="spellEnd"/>
            <w:r w:rsidRPr="00361AAC">
              <w:rPr>
                <w:rFonts w:cs="Arial"/>
                <w:sz w:val="20"/>
                <w:szCs w:val="20"/>
              </w:rPr>
              <w:t xml:space="preserve"> x N</w:t>
            </w:r>
            <w:r w:rsidRPr="00361AAC">
              <w:rPr>
                <w:rFonts w:cs="Arial"/>
                <w:sz w:val="20"/>
                <w:szCs w:val="20"/>
                <w:vertAlign w:val="subscript"/>
              </w:rPr>
              <w:t>SCA</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w:t>
            </w:r>
            <w:proofErr w:type="spellEnd"/>
          </w:p>
        </w:tc>
        <w:tc>
          <w:tcPr>
            <w:tcW w:w="1620" w:type="dxa"/>
            <w:shd w:val="clear" w:color="auto" w:fill="auto"/>
            <w:noWrap/>
            <w:vAlign w:val="bottom"/>
          </w:tcPr>
          <w:p w:rsidR="004D0CCC" w:rsidRPr="00361AAC" w:rsidRDefault="004D0CCC" w:rsidP="00132F6D">
            <w:pPr>
              <w:rPr>
                <w:rFonts w:cs="Arial"/>
                <w:sz w:val="20"/>
                <w:szCs w:val="20"/>
              </w:rPr>
            </w:pPr>
            <w:r w:rsidRPr="00361AAC">
              <w:rPr>
                <w:rFonts w:cs="Arial"/>
                <w:sz w:val="20"/>
                <w:szCs w:val="20"/>
              </w:rPr>
              <w:t>BPF</w:t>
            </w:r>
          </w:p>
        </w:tc>
        <w:tc>
          <w:tcPr>
            <w:tcW w:w="900" w:type="dxa"/>
            <w:shd w:val="clear" w:color="auto" w:fill="auto"/>
            <w:noWrap/>
            <w:vAlign w:val="bottom"/>
          </w:tcPr>
          <w:p w:rsidR="004D0CCC" w:rsidRPr="00361AAC" w:rsidRDefault="004D0CCC" w:rsidP="00132F6D">
            <w:pPr>
              <w:rPr>
                <w:rFonts w:cs="Arial"/>
                <w:sz w:val="20"/>
                <w:szCs w:val="20"/>
              </w:rPr>
            </w:pPr>
            <w:r w:rsidRPr="00361AAC">
              <w:rPr>
                <w:rFonts w:cs="Arial"/>
                <w:sz w:val="20"/>
                <w:szCs w:val="20"/>
              </w:rPr>
              <w:t>Float</w:t>
            </w:r>
          </w:p>
        </w:tc>
      </w:tr>
      <w:tr w:rsidR="004D0CCC" w:rsidRPr="00361AAC" w:rsidTr="00132F6D">
        <w:trPr>
          <w:trHeight w:val="320"/>
          <w:jc w:val="center"/>
        </w:trPr>
        <w:tc>
          <w:tcPr>
            <w:tcW w:w="2700" w:type="dxa"/>
            <w:shd w:val="clear" w:color="auto" w:fill="auto"/>
            <w:noWrap/>
            <w:vAlign w:val="bottom"/>
          </w:tcPr>
          <w:p w:rsidR="004D0CCC" w:rsidRPr="00361AAC" w:rsidRDefault="004D0CCC" w:rsidP="00132F6D">
            <w:pPr>
              <w:rPr>
                <w:rFonts w:cs="Arial"/>
                <w:sz w:val="20"/>
                <w:szCs w:val="20"/>
              </w:rPr>
            </w:pPr>
            <w:r w:rsidRPr="00361AAC">
              <w:rPr>
                <w:rFonts w:cs="Arial"/>
                <w:sz w:val="20"/>
                <w:szCs w:val="20"/>
              </w:rPr>
              <w:t>Dark Response</w:t>
            </w:r>
          </w:p>
        </w:tc>
        <w:tc>
          <w:tcPr>
            <w:tcW w:w="1080" w:type="dxa"/>
            <w:vAlign w:val="bottom"/>
          </w:tcPr>
          <w:p w:rsidR="004D0CCC" w:rsidRPr="00361AAC" w:rsidRDefault="004D0CCC" w:rsidP="00132F6D">
            <w:pPr>
              <w:rPr>
                <w:rFonts w:cs="Arial"/>
                <w:sz w:val="20"/>
                <w:szCs w:val="20"/>
              </w:rPr>
            </w:pPr>
            <w:r w:rsidRPr="00361AAC">
              <w:rPr>
                <w:rFonts w:cs="Arial"/>
                <w:sz w:val="20"/>
                <w:szCs w:val="20"/>
              </w:rPr>
              <w:t>D</w:t>
            </w:r>
          </w:p>
        </w:tc>
        <w:tc>
          <w:tcPr>
            <w:tcW w:w="900" w:type="dxa"/>
            <w:vAlign w:val="bottom"/>
          </w:tcPr>
          <w:p w:rsidR="004D0CCC" w:rsidRPr="00361AAC" w:rsidRDefault="004D0CCC" w:rsidP="00132F6D">
            <w:pPr>
              <w:rPr>
                <w:rFonts w:cs="Arial"/>
                <w:sz w:val="20"/>
                <w:szCs w:val="20"/>
              </w:rPr>
            </w:pPr>
            <w:r w:rsidRPr="00361AAC">
              <w:rPr>
                <w:rFonts w:cs="Arial"/>
                <w:sz w:val="20"/>
                <w:szCs w:val="20"/>
              </w:rPr>
              <w:t>DN</w:t>
            </w:r>
          </w:p>
        </w:tc>
        <w:tc>
          <w:tcPr>
            <w:tcW w:w="900" w:type="dxa"/>
            <w:shd w:val="clear" w:color="auto" w:fill="auto"/>
            <w:noWrap/>
            <w:vAlign w:val="bottom"/>
          </w:tcPr>
          <w:p w:rsidR="004D0CCC" w:rsidRPr="00361AAC" w:rsidRDefault="004D0CCC"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w:t>
            </w:r>
            <w:proofErr w:type="spellEnd"/>
            <w:r w:rsidRPr="00361AAC">
              <w:rPr>
                <w:rFonts w:cs="Arial"/>
                <w:sz w:val="20"/>
                <w:szCs w:val="20"/>
              </w:rPr>
              <w:t xml:space="preserve"> x N</w:t>
            </w:r>
            <w:r w:rsidRPr="00361AAC">
              <w:rPr>
                <w:rFonts w:cs="Arial"/>
                <w:sz w:val="20"/>
                <w:szCs w:val="20"/>
                <w:vertAlign w:val="subscript"/>
              </w:rPr>
              <w:t>SCA</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w:t>
            </w:r>
            <w:proofErr w:type="spellEnd"/>
          </w:p>
        </w:tc>
        <w:tc>
          <w:tcPr>
            <w:tcW w:w="1620" w:type="dxa"/>
            <w:shd w:val="clear" w:color="auto" w:fill="auto"/>
            <w:noWrap/>
            <w:vAlign w:val="bottom"/>
          </w:tcPr>
          <w:p w:rsidR="004D0CCC" w:rsidRPr="00361AAC" w:rsidRDefault="004D0CCC" w:rsidP="00132F6D">
            <w:pPr>
              <w:rPr>
                <w:rFonts w:cs="Arial"/>
                <w:sz w:val="20"/>
                <w:szCs w:val="20"/>
              </w:rPr>
            </w:pPr>
            <w:r w:rsidRPr="00361AAC">
              <w:rPr>
                <w:rFonts w:cs="Arial"/>
                <w:sz w:val="20"/>
                <w:szCs w:val="20"/>
              </w:rPr>
              <w:t>Dark Response Determination or CPF</w:t>
            </w:r>
          </w:p>
        </w:tc>
        <w:tc>
          <w:tcPr>
            <w:tcW w:w="900" w:type="dxa"/>
            <w:shd w:val="clear" w:color="auto" w:fill="auto"/>
            <w:noWrap/>
            <w:vAlign w:val="bottom"/>
          </w:tcPr>
          <w:p w:rsidR="004D0CCC" w:rsidRPr="00361AAC" w:rsidRDefault="004D0CCC" w:rsidP="00132F6D">
            <w:pPr>
              <w:rPr>
                <w:rFonts w:cs="Arial"/>
                <w:sz w:val="20"/>
                <w:szCs w:val="20"/>
              </w:rPr>
            </w:pPr>
            <w:r w:rsidRPr="00361AAC">
              <w:rPr>
                <w:rFonts w:cs="Arial"/>
                <w:sz w:val="20"/>
                <w:szCs w:val="20"/>
              </w:rPr>
              <w:t>Float</w:t>
            </w:r>
          </w:p>
        </w:tc>
      </w:tr>
      <w:tr w:rsidR="004D0CCC" w:rsidRPr="00361AAC" w:rsidTr="00132F6D">
        <w:trPr>
          <w:trHeight w:val="320"/>
          <w:jc w:val="center"/>
        </w:trPr>
        <w:tc>
          <w:tcPr>
            <w:tcW w:w="2700" w:type="dxa"/>
            <w:shd w:val="clear" w:color="auto" w:fill="auto"/>
            <w:noWrap/>
            <w:vAlign w:val="bottom"/>
          </w:tcPr>
          <w:p w:rsidR="004D0CCC" w:rsidRPr="00361AAC" w:rsidRDefault="004D0CCC" w:rsidP="00132F6D">
            <w:pPr>
              <w:rPr>
                <w:rFonts w:cs="Arial"/>
                <w:sz w:val="20"/>
                <w:szCs w:val="20"/>
              </w:rPr>
            </w:pPr>
            <w:r w:rsidRPr="00361AAC">
              <w:rPr>
                <w:rFonts w:cs="Arial"/>
                <w:sz w:val="20"/>
                <w:szCs w:val="20"/>
              </w:rPr>
              <w:t>Background Response</w:t>
            </w:r>
          </w:p>
        </w:tc>
        <w:tc>
          <w:tcPr>
            <w:tcW w:w="1080" w:type="dxa"/>
            <w:vAlign w:val="bottom"/>
          </w:tcPr>
          <w:p w:rsidR="004D0CCC" w:rsidRPr="00361AAC" w:rsidRDefault="004D0CCC" w:rsidP="00132F6D">
            <w:pPr>
              <w:rPr>
                <w:rFonts w:cs="Arial"/>
                <w:sz w:val="20"/>
                <w:szCs w:val="20"/>
              </w:rPr>
            </w:pPr>
            <w:r w:rsidRPr="00361AAC">
              <w:rPr>
                <w:rFonts w:cs="Arial"/>
                <w:sz w:val="20"/>
                <w:szCs w:val="20"/>
              </w:rPr>
              <w:t>B</w:t>
            </w:r>
          </w:p>
        </w:tc>
        <w:tc>
          <w:tcPr>
            <w:tcW w:w="900" w:type="dxa"/>
            <w:vAlign w:val="bottom"/>
          </w:tcPr>
          <w:p w:rsidR="004D0CCC" w:rsidRPr="00361AAC" w:rsidRDefault="004D0CCC" w:rsidP="00132F6D">
            <w:pPr>
              <w:rPr>
                <w:rFonts w:cs="Arial"/>
                <w:sz w:val="20"/>
                <w:szCs w:val="20"/>
              </w:rPr>
            </w:pPr>
            <w:r w:rsidRPr="00361AAC">
              <w:rPr>
                <w:rFonts w:cs="Arial"/>
                <w:sz w:val="20"/>
                <w:szCs w:val="20"/>
              </w:rPr>
              <w:t>DN</w:t>
            </w:r>
          </w:p>
        </w:tc>
        <w:tc>
          <w:tcPr>
            <w:tcW w:w="900" w:type="dxa"/>
            <w:shd w:val="clear" w:color="auto" w:fill="auto"/>
            <w:noWrap/>
            <w:vAlign w:val="bottom"/>
          </w:tcPr>
          <w:p w:rsidR="004D0CCC" w:rsidRPr="00361AAC" w:rsidRDefault="004D0CCC"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w:t>
            </w:r>
            <w:proofErr w:type="spellEnd"/>
            <w:r w:rsidRPr="00361AAC">
              <w:rPr>
                <w:rFonts w:cs="Arial"/>
                <w:sz w:val="20"/>
                <w:szCs w:val="20"/>
              </w:rPr>
              <w:t xml:space="preserve"> x N</w:t>
            </w:r>
            <w:r w:rsidRPr="00361AAC">
              <w:rPr>
                <w:rFonts w:cs="Arial"/>
                <w:sz w:val="20"/>
                <w:szCs w:val="20"/>
                <w:vertAlign w:val="subscript"/>
              </w:rPr>
              <w:t>SCA</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w:t>
            </w:r>
            <w:proofErr w:type="spellEnd"/>
          </w:p>
        </w:tc>
        <w:tc>
          <w:tcPr>
            <w:tcW w:w="1620" w:type="dxa"/>
            <w:shd w:val="clear" w:color="auto" w:fill="auto"/>
            <w:noWrap/>
            <w:vAlign w:val="bottom"/>
          </w:tcPr>
          <w:p w:rsidR="004D0CCC" w:rsidRPr="00361AAC" w:rsidRDefault="004D0CCC" w:rsidP="00132F6D">
            <w:pPr>
              <w:rPr>
                <w:rFonts w:cs="Arial"/>
                <w:sz w:val="20"/>
                <w:szCs w:val="20"/>
              </w:rPr>
            </w:pPr>
            <w:r w:rsidRPr="00361AAC">
              <w:rPr>
                <w:rFonts w:cs="Arial"/>
                <w:sz w:val="20"/>
                <w:szCs w:val="20"/>
              </w:rPr>
              <w:t>CPF</w:t>
            </w:r>
          </w:p>
        </w:tc>
        <w:tc>
          <w:tcPr>
            <w:tcW w:w="900" w:type="dxa"/>
            <w:shd w:val="clear" w:color="auto" w:fill="auto"/>
            <w:noWrap/>
            <w:vAlign w:val="bottom"/>
          </w:tcPr>
          <w:p w:rsidR="004D0CCC" w:rsidRPr="00361AAC" w:rsidRDefault="004D0CCC" w:rsidP="00132F6D">
            <w:pPr>
              <w:rPr>
                <w:rFonts w:cs="Arial"/>
                <w:sz w:val="20"/>
                <w:szCs w:val="20"/>
              </w:rPr>
            </w:pPr>
            <w:r w:rsidRPr="00361AAC">
              <w:rPr>
                <w:rFonts w:cs="Arial"/>
                <w:sz w:val="20"/>
                <w:szCs w:val="20"/>
              </w:rPr>
              <w:t>Float</w:t>
            </w:r>
          </w:p>
        </w:tc>
      </w:tr>
      <w:tr w:rsidR="004D0CCC" w:rsidRPr="00361AAC" w:rsidTr="00132F6D">
        <w:trPr>
          <w:trHeight w:val="320"/>
          <w:jc w:val="center"/>
        </w:trPr>
        <w:tc>
          <w:tcPr>
            <w:tcW w:w="2700" w:type="dxa"/>
            <w:shd w:val="clear" w:color="auto" w:fill="auto"/>
            <w:noWrap/>
            <w:vAlign w:val="bottom"/>
          </w:tcPr>
          <w:p w:rsidR="004D0CCC" w:rsidRPr="00361AAC" w:rsidRDefault="004D0CCC" w:rsidP="00132F6D">
            <w:pPr>
              <w:rPr>
                <w:rFonts w:cs="Arial"/>
                <w:sz w:val="20"/>
                <w:szCs w:val="20"/>
              </w:rPr>
            </w:pPr>
            <w:r w:rsidRPr="00361AAC">
              <w:rPr>
                <w:rFonts w:cs="Arial"/>
                <w:sz w:val="20"/>
                <w:szCs w:val="20"/>
              </w:rPr>
              <w:t>Gain Function Offset</w:t>
            </w:r>
          </w:p>
        </w:tc>
        <w:tc>
          <w:tcPr>
            <w:tcW w:w="1080" w:type="dxa"/>
            <w:vAlign w:val="bottom"/>
          </w:tcPr>
          <w:p w:rsidR="004D0CCC" w:rsidRPr="00361AAC" w:rsidRDefault="004D0CCC" w:rsidP="00132F6D">
            <w:pPr>
              <w:rPr>
                <w:rFonts w:cs="Arial"/>
                <w:sz w:val="20"/>
                <w:szCs w:val="20"/>
              </w:rPr>
            </w:pPr>
            <w:r w:rsidRPr="00361AAC">
              <w:rPr>
                <w:rFonts w:cs="Arial"/>
                <w:sz w:val="20"/>
                <w:szCs w:val="20"/>
              </w:rPr>
              <w:t>Go</w:t>
            </w:r>
          </w:p>
        </w:tc>
        <w:tc>
          <w:tcPr>
            <w:tcW w:w="900" w:type="dxa"/>
            <w:vAlign w:val="bottom"/>
          </w:tcPr>
          <w:p w:rsidR="004D0CCC" w:rsidRPr="00361AAC" w:rsidRDefault="004D0CCC" w:rsidP="00132F6D">
            <w:pPr>
              <w:rPr>
                <w:rFonts w:cs="Arial"/>
                <w:sz w:val="20"/>
                <w:szCs w:val="20"/>
              </w:rPr>
            </w:pPr>
            <w:r w:rsidRPr="00361AAC">
              <w:rPr>
                <w:rFonts w:cs="Arial"/>
                <w:sz w:val="20"/>
                <w:szCs w:val="20"/>
              </w:rPr>
              <w:t>DN</w:t>
            </w:r>
          </w:p>
        </w:tc>
        <w:tc>
          <w:tcPr>
            <w:tcW w:w="900" w:type="dxa"/>
            <w:shd w:val="clear" w:color="auto" w:fill="auto"/>
            <w:noWrap/>
            <w:vAlign w:val="bottom"/>
          </w:tcPr>
          <w:p w:rsidR="004D0CCC" w:rsidRPr="00361AAC" w:rsidRDefault="004D0CCC"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w:t>
            </w:r>
            <w:proofErr w:type="spellEnd"/>
            <w:r w:rsidRPr="00361AAC">
              <w:rPr>
                <w:rFonts w:cs="Arial"/>
                <w:sz w:val="20"/>
                <w:szCs w:val="20"/>
              </w:rPr>
              <w:t xml:space="preserve"> x N</w:t>
            </w:r>
            <w:r w:rsidRPr="00361AAC">
              <w:rPr>
                <w:rFonts w:cs="Arial"/>
                <w:sz w:val="20"/>
                <w:szCs w:val="20"/>
                <w:vertAlign w:val="subscript"/>
              </w:rPr>
              <w:t>SCA</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w:t>
            </w:r>
            <w:proofErr w:type="spellEnd"/>
          </w:p>
        </w:tc>
        <w:tc>
          <w:tcPr>
            <w:tcW w:w="1620" w:type="dxa"/>
            <w:shd w:val="clear" w:color="auto" w:fill="auto"/>
            <w:noWrap/>
            <w:vAlign w:val="bottom"/>
          </w:tcPr>
          <w:p w:rsidR="004D0CCC" w:rsidRPr="00361AAC" w:rsidRDefault="004D0CCC" w:rsidP="00132F6D">
            <w:pPr>
              <w:rPr>
                <w:rFonts w:cs="Arial"/>
                <w:sz w:val="20"/>
                <w:szCs w:val="20"/>
              </w:rPr>
            </w:pPr>
            <w:r w:rsidRPr="00361AAC">
              <w:rPr>
                <w:rFonts w:cs="Arial"/>
                <w:sz w:val="20"/>
                <w:szCs w:val="20"/>
              </w:rPr>
              <w:t>CPF</w:t>
            </w:r>
          </w:p>
        </w:tc>
        <w:tc>
          <w:tcPr>
            <w:tcW w:w="900" w:type="dxa"/>
            <w:shd w:val="clear" w:color="auto" w:fill="auto"/>
            <w:noWrap/>
            <w:vAlign w:val="bottom"/>
          </w:tcPr>
          <w:p w:rsidR="004D0CCC" w:rsidRPr="00361AAC" w:rsidRDefault="004D0CCC" w:rsidP="00132F6D">
            <w:pPr>
              <w:rPr>
                <w:rFonts w:cs="Arial"/>
                <w:sz w:val="20"/>
                <w:szCs w:val="20"/>
              </w:rPr>
            </w:pPr>
            <w:r w:rsidRPr="00361AAC">
              <w:rPr>
                <w:rFonts w:cs="Arial"/>
                <w:sz w:val="20"/>
                <w:szCs w:val="20"/>
              </w:rPr>
              <w:t>Float</w:t>
            </w:r>
          </w:p>
        </w:tc>
      </w:tr>
    </w:tbl>
    <w:p w:rsidR="004D0CCC" w:rsidRPr="00361AAC" w:rsidRDefault="004D0CCC" w:rsidP="004D0CCC">
      <w:pPr>
        <w:rPr>
          <w:rFonts w:cs="Arial"/>
          <w:b/>
        </w:rPr>
      </w:pPr>
    </w:p>
    <w:p w:rsidR="004D0CCC" w:rsidRPr="00361AAC" w:rsidRDefault="004D0CCC" w:rsidP="004D0CCC">
      <w:pPr>
        <w:rPr>
          <w:rFonts w:cs="Arial"/>
          <w:b/>
        </w:rPr>
      </w:pPr>
      <w:r w:rsidRPr="00361AAC">
        <w:rPr>
          <w:rFonts w:cs="Arial"/>
          <w:b/>
        </w:rPr>
        <w:t>Output</w:t>
      </w:r>
    </w:p>
    <w:tbl>
      <w:tblPr>
        <w:tblW w:w="873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700"/>
        <w:gridCol w:w="1080"/>
        <w:gridCol w:w="900"/>
        <w:gridCol w:w="900"/>
        <w:gridCol w:w="1890"/>
        <w:gridCol w:w="1260"/>
      </w:tblGrid>
      <w:tr w:rsidR="004D0CCC" w:rsidRPr="00361AAC" w:rsidTr="00132F6D">
        <w:trPr>
          <w:cantSplit/>
          <w:trHeight w:val="300"/>
          <w:jc w:val="center"/>
        </w:trPr>
        <w:tc>
          <w:tcPr>
            <w:tcW w:w="2700" w:type="dxa"/>
            <w:shd w:val="clear" w:color="auto" w:fill="auto"/>
            <w:noWrap/>
            <w:vAlign w:val="bottom"/>
          </w:tcPr>
          <w:p w:rsidR="004D0CCC" w:rsidRPr="00361AAC" w:rsidRDefault="004D0CCC" w:rsidP="00132F6D">
            <w:pPr>
              <w:jc w:val="center"/>
              <w:rPr>
                <w:rFonts w:cs="Arial"/>
                <w:b/>
                <w:sz w:val="20"/>
                <w:szCs w:val="20"/>
              </w:rPr>
            </w:pPr>
            <w:r w:rsidRPr="00361AAC">
              <w:rPr>
                <w:rFonts w:cs="Arial"/>
                <w:b/>
                <w:sz w:val="20"/>
                <w:szCs w:val="20"/>
              </w:rPr>
              <w:t>Description</w:t>
            </w:r>
          </w:p>
        </w:tc>
        <w:tc>
          <w:tcPr>
            <w:tcW w:w="1080" w:type="dxa"/>
            <w:vAlign w:val="bottom"/>
          </w:tcPr>
          <w:p w:rsidR="004D0CCC" w:rsidRPr="00361AAC" w:rsidRDefault="004D0CCC" w:rsidP="00132F6D">
            <w:pPr>
              <w:jc w:val="center"/>
              <w:rPr>
                <w:rFonts w:cs="Arial"/>
                <w:b/>
                <w:sz w:val="20"/>
                <w:szCs w:val="20"/>
              </w:rPr>
            </w:pPr>
            <w:r w:rsidRPr="00361AAC">
              <w:rPr>
                <w:rFonts w:cs="Arial"/>
                <w:b/>
                <w:sz w:val="20"/>
                <w:szCs w:val="20"/>
              </w:rPr>
              <w:t>Symbol</w:t>
            </w:r>
          </w:p>
        </w:tc>
        <w:tc>
          <w:tcPr>
            <w:tcW w:w="900" w:type="dxa"/>
            <w:vAlign w:val="bottom"/>
          </w:tcPr>
          <w:p w:rsidR="004D0CCC" w:rsidRPr="00361AAC" w:rsidRDefault="004D0CCC" w:rsidP="00132F6D">
            <w:pPr>
              <w:jc w:val="center"/>
              <w:rPr>
                <w:rFonts w:cs="Arial"/>
                <w:b/>
                <w:sz w:val="20"/>
                <w:szCs w:val="20"/>
              </w:rPr>
            </w:pPr>
            <w:r w:rsidRPr="00361AAC">
              <w:rPr>
                <w:rFonts w:cs="Arial"/>
                <w:b/>
                <w:sz w:val="20"/>
                <w:szCs w:val="20"/>
              </w:rPr>
              <w:t>Units</w:t>
            </w:r>
          </w:p>
        </w:tc>
        <w:tc>
          <w:tcPr>
            <w:tcW w:w="900" w:type="dxa"/>
            <w:shd w:val="clear" w:color="auto" w:fill="auto"/>
            <w:noWrap/>
            <w:vAlign w:val="bottom"/>
          </w:tcPr>
          <w:p w:rsidR="004D0CCC" w:rsidRPr="00361AAC" w:rsidRDefault="004D0CCC" w:rsidP="00132F6D">
            <w:pPr>
              <w:ind w:left="72"/>
              <w:jc w:val="center"/>
              <w:rPr>
                <w:rFonts w:cs="Arial"/>
                <w:b/>
                <w:sz w:val="20"/>
                <w:szCs w:val="20"/>
              </w:rPr>
            </w:pPr>
            <w:r w:rsidRPr="00361AAC">
              <w:rPr>
                <w:rFonts w:cs="Arial"/>
                <w:b/>
                <w:sz w:val="20"/>
                <w:szCs w:val="20"/>
              </w:rPr>
              <w:t>Level</w:t>
            </w:r>
          </w:p>
        </w:tc>
        <w:tc>
          <w:tcPr>
            <w:tcW w:w="1890" w:type="dxa"/>
            <w:shd w:val="clear" w:color="auto" w:fill="auto"/>
            <w:noWrap/>
            <w:vAlign w:val="bottom"/>
          </w:tcPr>
          <w:p w:rsidR="004D0CCC" w:rsidRPr="00361AAC" w:rsidRDefault="004D0CCC" w:rsidP="00132F6D">
            <w:pPr>
              <w:ind w:left="72"/>
              <w:jc w:val="center"/>
              <w:rPr>
                <w:rFonts w:cs="Arial"/>
                <w:b/>
                <w:sz w:val="20"/>
                <w:szCs w:val="20"/>
              </w:rPr>
            </w:pPr>
            <w:r w:rsidRPr="00361AAC">
              <w:rPr>
                <w:rFonts w:cs="Arial"/>
                <w:b/>
                <w:sz w:val="20"/>
                <w:szCs w:val="20"/>
              </w:rPr>
              <w:t>Target</w:t>
            </w:r>
          </w:p>
        </w:tc>
        <w:tc>
          <w:tcPr>
            <w:tcW w:w="1260" w:type="dxa"/>
            <w:shd w:val="clear" w:color="auto" w:fill="auto"/>
            <w:noWrap/>
            <w:vAlign w:val="bottom"/>
          </w:tcPr>
          <w:p w:rsidR="004D0CCC" w:rsidRPr="00361AAC" w:rsidRDefault="004D0CCC" w:rsidP="00132F6D">
            <w:pPr>
              <w:ind w:left="250"/>
              <w:jc w:val="center"/>
              <w:rPr>
                <w:rFonts w:cs="Arial"/>
                <w:b/>
                <w:sz w:val="20"/>
                <w:szCs w:val="20"/>
              </w:rPr>
            </w:pPr>
            <w:r w:rsidRPr="00361AAC">
              <w:rPr>
                <w:rFonts w:cs="Arial"/>
                <w:b/>
                <w:sz w:val="20"/>
                <w:szCs w:val="20"/>
              </w:rPr>
              <w:t>Type</w:t>
            </w:r>
          </w:p>
        </w:tc>
      </w:tr>
      <w:tr w:rsidR="004D0CCC" w:rsidRPr="00361AAC" w:rsidTr="00132F6D">
        <w:trPr>
          <w:cantSplit/>
          <w:trHeight w:val="320"/>
          <w:tblHeader/>
          <w:jc w:val="center"/>
        </w:trPr>
        <w:tc>
          <w:tcPr>
            <w:tcW w:w="2700" w:type="dxa"/>
            <w:shd w:val="clear" w:color="auto" w:fill="auto"/>
            <w:noWrap/>
            <w:vAlign w:val="bottom"/>
          </w:tcPr>
          <w:p w:rsidR="004D0CCC" w:rsidRPr="00361AAC" w:rsidRDefault="004D0CCC" w:rsidP="00132F6D">
            <w:pPr>
              <w:ind w:left="72"/>
              <w:rPr>
                <w:rFonts w:cs="Arial"/>
                <w:sz w:val="20"/>
                <w:szCs w:val="20"/>
              </w:rPr>
            </w:pPr>
            <w:r w:rsidRPr="00361AAC">
              <w:rPr>
                <w:rFonts w:cs="Arial"/>
                <w:sz w:val="20"/>
                <w:szCs w:val="20"/>
              </w:rPr>
              <w:t>Scene (Bias Subtracted, Linearized DN)</w:t>
            </w:r>
          </w:p>
        </w:tc>
        <w:tc>
          <w:tcPr>
            <w:tcW w:w="1080" w:type="dxa"/>
            <w:vAlign w:val="bottom"/>
          </w:tcPr>
          <w:p w:rsidR="004D0CCC" w:rsidRPr="00361AAC" w:rsidRDefault="004D0CCC" w:rsidP="00132F6D">
            <w:pPr>
              <w:ind w:left="163"/>
              <w:rPr>
                <w:rFonts w:cs="Arial"/>
                <w:sz w:val="20"/>
                <w:szCs w:val="20"/>
              </w:rPr>
            </w:pPr>
            <w:r w:rsidRPr="00361AAC">
              <w:rPr>
                <w:rFonts w:cs="Arial"/>
                <w:sz w:val="20"/>
                <w:szCs w:val="20"/>
              </w:rPr>
              <w:t>Q</w:t>
            </w:r>
            <w:r w:rsidRPr="00361AAC">
              <w:rPr>
                <w:rFonts w:cs="Arial"/>
                <w:sz w:val="20"/>
                <w:szCs w:val="20"/>
                <w:vertAlign w:val="subscript"/>
              </w:rPr>
              <w:t>LB</w:t>
            </w:r>
          </w:p>
        </w:tc>
        <w:tc>
          <w:tcPr>
            <w:tcW w:w="900" w:type="dxa"/>
            <w:vAlign w:val="bottom"/>
          </w:tcPr>
          <w:p w:rsidR="004D0CCC" w:rsidRPr="00361AAC" w:rsidRDefault="004D0CCC" w:rsidP="00132F6D">
            <w:pPr>
              <w:ind w:left="208"/>
              <w:rPr>
                <w:rFonts w:cs="Arial"/>
                <w:sz w:val="20"/>
                <w:szCs w:val="20"/>
              </w:rPr>
            </w:pPr>
            <w:r w:rsidRPr="00361AAC">
              <w:rPr>
                <w:rFonts w:cs="Arial"/>
                <w:sz w:val="20"/>
                <w:szCs w:val="20"/>
              </w:rPr>
              <w:t>DN</w:t>
            </w:r>
          </w:p>
        </w:tc>
        <w:tc>
          <w:tcPr>
            <w:tcW w:w="900" w:type="dxa"/>
            <w:shd w:val="clear" w:color="auto" w:fill="auto"/>
            <w:noWrap/>
            <w:vAlign w:val="bottom"/>
          </w:tcPr>
          <w:p w:rsidR="004D0CCC" w:rsidRPr="00361AAC" w:rsidRDefault="004D0CCC" w:rsidP="00132F6D">
            <w:pPr>
              <w:ind w:left="72"/>
              <w:rPr>
                <w:rFonts w:cs="Arial"/>
                <w:sz w:val="20"/>
                <w:szCs w:val="20"/>
              </w:rPr>
            </w:pPr>
            <w:proofErr w:type="spellStart"/>
            <w:r w:rsidRPr="00361AAC">
              <w:rPr>
                <w:rFonts w:cs="Arial"/>
                <w:sz w:val="20"/>
                <w:szCs w:val="20"/>
              </w:rPr>
              <w:t>N</w:t>
            </w:r>
            <w:r w:rsidRPr="00361AAC">
              <w:rPr>
                <w:rFonts w:cs="Arial"/>
                <w:sz w:val="20"/>
                <w:szCs w:val="20"/>
                <w:vertAlign w:val="subscript"/>
              </w:rPr>
              <w:t>band</w:t>
            </w:r>
            <w:proofErr w:type="spellEnd"/>
            <w:r w:rsidRPr="00361AAC">
              <w:rPr>
                <w:rFonts w:cs="Arial"/>
                <w:sz w:val="20"/>
                <w:szCs w:val="20"/>
              </w:rPr>
              <w:t xml:space="preserve"> x N</w:t>
            </w:r>
            <w:r w:rsidRPr="00361AAC">
              <w:rPr>
                <w:rFonts w:cs="Arial"/>
                <w:sz w:val="20"/>
                <w:szCs w:val="20"/>
                <w:vertAlign w:val="subscript"/>
              </w:rPr>
              <w:t>SCA</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w:t>
            </w:r>
            <w:proofErr w:type="spellEnd"/>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frames</w:t>
            </w:r>
            <w:proofErr w:type="spellEnd"/>
          </w:p>
        </w:tc>
        <w:tc>
          <w:tcPr>
            <w:tcW w:w="1890" w:type="dxa"/>
            <w:shd w:val="clear" w:color="auto" w:fill="auto"/>
            <w:noWrap/>
            <w:vAlign w:val="bottom"/>
          </w:tcPr>
          <w:p w:rsidR="004D0CCC" w:rsidRPr="00361AAC" w:rsidRDefault="004D0CCC" w:rsidP="00132F6D">
            <w:pPr>
              <w:ind w:left="72"/>
              <w:rPr>
                <w:rFonts w:cs="Arial"/>
                <w:sz w:val="20"/>
                <w:szCs w:val="20"/>
              </w:rPr>
            </w:pPr>
            <w:r>
              <w:rPr>
                <w:rFonts w:cs="Arial"/>
                <w:sz w:val="20"/>
                <w:szCs w:val="20"/>
              </w:rPr>
              <w:t>TIRS</w:t>
            </w:r>
            <w:r w:rsidRPr="00361AAC">
              <w:rPr>
                <w:rFonts w:cs="Arial"/>
                <w:sz w:val="20"/>
                <w:szCs w:val="20"/>
              </w:rPr>
              <w:t xml:space="preserve"> Second Linearization</w:t>
            </w:r>
          </w:p>
        </w:tc>
        <w:tc>
          <w:tcPr>
            <w:tcW w:w="1260" w:type="dxa"/>
            <w:shd w:val="clear" w:color="auto" w:fill="auto"/>
            <w:noWrap/>
            <w:vAlign w:val="bottom"/>
          </w:tcPr>
          <w:p w:rsidR="004D0CCC" w:rsidRPr="00361AAC" w:rsidRDefault="004D0CCC" w:rsidP="00132F6D">
            <w:pPr>
              <w:ind w:left="160"/>
              <w:rPr>
                <w:rFonts w:cs="Arial"/>
                <w:sz w:val="20"/>
                <w:szCs w:val="20"/>
              </w:rPr>
            </w:pPr>
            <w:r w:rsidRPr="00361AAC">
              <w:rPr>
                <w:rFonts w:cs="Arial"/>
                <w:sz w:val="20"/>
                <w:szCs w:val="20"/>
              </w:rPr>
              <w:t>Float</w:t>
            </w:r>
          </w:p>
        </w:tc>
      </w:tr>
    </w:tbl>
    <w:p w:rsidR="004D0CCC" w:rsidRPr="00361AAC" w:rsidRDefault="004D0CCC" w:rsidP="004D0CCC">
      <w:pPr>
        <w:pStyle w:val="Heading4"/>
        <w:rPr>
          <w:rFonts w:cs="Arial"/>
        </w:rPr>
      </w:pPr>
      <w:bookmarkStart w:id="5" w:name="_Toc345688140"/>
      <w:r w:rsidRPr="00361AAC">
        <w:rPr>
          <w:rFonts w:cs="Arial"/>
        </w:rPr>
        <w:lastRenderedPageBreak/>
        <w:t>Options</w:t>
      </w:r>
      <w:bookmarkEnd w:id="5"/>
    </w:p>
    <w:p w:rsidR="004D0CCC" w:rsidRDefault="004D0CCC" w:rsidP="004D0CCC">
      <w:pPr>
        <w:pStyle w:val="ListParagraph"/>
        <w:numPr>
          <w:ilvl w:val="0"/>
          <w:numId w:val="1"/>
        </w:numPr>
        <w:spacing w:after="200" w:line="276" w:lineRule="auto"/>
        <w:contextualSpacing/>
        <w:rPr>
          <w:rFonts w:cs="Arial"/>
        </w:rPr>
      </w:pPr>
      <w:r w:rsidRPr="00361AAC">
        <w:rPr>
          <w:rFonts w:cs="Arial"/>
        </w:rPr>
        <w:t>Dark and Background Response Selection</w:t>
      </w:r>
    </w:p>
    <w:p w:rsidR="004D0CCC" w:rsidRPr="00361AAC" w:rsidRDefault="004D0CCC" w:rsidP="004D0CCC">
      <w:pPr>
        <w:pStyle w:val="ListParagraph"/>
        <w:spacing w:after="200" w:line="276" w:lineRule="auto"/>
        <w:contextualSpacing/>
        <w:rPr>
          <w:rFonts w:cs="Arial"/>
        </w:rPr>
      </w:pPr>
    </w:p>
    <w:p w:rsidR="004D0CCC" w:rsidRPr="00361AAC" w:rsidRDefault="004D0CCC" w:rsidP="004D0CCC">
      <w:pPr>
        <w:pStyle w:val="ListParagraph"/>
        <w:numPr>
          <w:ilvl w:val="1"/>
          <w:numId w:val="1"/>
        </w:numPr>
        <w:spacing w:after="200" w:line="276" w:lineRule="auto"/>
        <w:contextualSpacing/>
        <w:rPr>
          <w:rFonts w:cs="Arial"/>
        </w:rPr>
      </w:pPr>
      <w:r w:rsidRPr="00361AAC">
        <w:rPr>
          <w:rFonts w:cs="Arial"/>
        </w:rPr>
        <w:t>Pre-acquisition deep space averages (S</w:t>
      </w:r>
      <w:r w:rsidRPr="00361AAC">
        <w:rPr>
          <w:rFonts w:cs="Arial"/>
          <w:vertAlign w:val="subscript"/>
        </w:rPr>
        <w:t>a</w:t>
      </w:r>
      <w:r w:rsidRPr="00361AAC">
        <w:rPr>
          <w:rFonts w:cs="Arial"/>
        </w:rPr>
        <w:t>)</w:t>
      </w:r>
    </w:p>
    <w:p w:rsidR="004D0CCC" w:rsidRPr="00361AAC" w:rsidRDefault="004D0CCC" w:rsidP="004D0CCC">
      <w:pPr>
        <w:pStyle w:val="ListParagraph"/>
        <w:numPr>
          <w:ilvl w:val="1"/>
          <w:numId w:val="1"/>
        </w:numPr>
        <w:spacing w:after="200" w:line="276" w:lineRule="auto"/>
        <w:contextualSpacing/>
        <w:rPr>
          <w:rFonts w:cs="Arial"/>
        </w:rPr>
      </w:pPr>
      <w:r w:rsidRPr="00361AAC">
        <w:rPr>
          <w:rFonts w:cs="Arial"/>
        </w:rPr>
        <w:t>Post-acquisition deep space averages (S</w:t>
      </w:r>
      <w:r w:rsidRPr="00361AAC">
        <w:rPr>
          <w:rFonts w:cs="Arial"/>
          <w:vertAlign w:val="subscript"/>
        </w:rPr>
        <w:t>b</w:t>
      </w:r>
      <w:r w:rsidRPr="00361AAC">
        <w:rPr>
          <w:rFonts w:cs="Arial"/>
        </w:rPr>
        <w:t>)</w:t>
      </w:r>
    </w:p>
    <w:p w:rsidR="004D0CCC" w:rsidRPr="00361AAC" w:rsidRDefault="004D0CCC" w:rsidP="004D0CCC">
      <w:pPr>
        <w:pStyle w:val="ListParagraph"/>
        <w:numPr>
          <w:ilvl w:val="1"/>
          <w:numId w:val="1"/>
        </w:numPr>
        <w:spacing w:after="200" w:line="276" w:lineRule="auto"/>
        <w:contextualSpacing/>
        <w:rPr>
          <w:rFonts w:cs="Arial"/>
        </w:rPr>
      </w:pPr>
      <w:r w:rsidRPr="00361AAC">
        <w:rPr>
          <w:rFonts w:cs="Arial"/>
        </w:rPr>
        <w:t>Average of pre-and post-acquisition deep space averages (S</w:t>
      </w:r>
      <w:r w:rsidRPr="00361AAC">
        <w:rPr>
          <w:rFonts w:cs="Arial"/>
          <w:vertAlign w:val="subscript"/>
        </w:rPr>
        <w:t>ab</w:t>
      </w:r>
      <w:r w:rsidRPr="00361AAC">
        <w:rPr>
          <w:rFonts w:cs="Arial"/>
        </w:rPr>
        <w:t>) (default)</w:t>
      </w:r>
    </w:p>
    <w:p w:rsidR="004D0CCC" w:rsidRPr="00361AAC" w:rsidRDefault="004D0CCC" w:rsidP="004D0CCC">
      <w:pPr>
        <w:pStyle w:val="ListParagraph"/>
        <w:numPr>
          <w:ilvl w:val="1"/>
          <w:numId w:val="1"/>
        </w:numPr>
        <w:spacing w:after="200" w:line="276" w:lineRule="auto"/>
        <w:contextualSpacing/>
        <w:rPr>
          <w:rFonts w:cs="Arial"/>
        </w:rPr>
      </w:pPr>
      <w:r w:rsidRPr="00361AAC">
        <w:rPr>
          <w:rFonts w:cs="Arial"/>
        </w:rPr>
        <w:t>dark and background responses from the CPF (or dark response determination in the case of dark response)</w:t>
      </w:r>
    </w:p>
    <w:p w:rsidR="004D0CCC" w:rsidRPr="00361AAC" w:rsidRDefault="004D0CCC" w:rsidP="004D0CCC">
      <w:pPr>
        <w:pStyle w:val="Heading4"/>
        <w:rPr>
          <w:rFonts w:cs="Arial"/>
        </w:rPr>
      </w:pPr>
      <w:bookmarkStart w:id="6" w:name="_Toc345688141"/>
      <w:r w:rsidRPr="00361AAC">
        <w:rPr>
          <w:rFonts w:cs="Arial"/>
        </w:rPr>
        <w:t>Procedure</w:t>
      </w:r>
      <w:bookmarkEnd w:id="6"/>
    </w:p>
    <w:p w:rsidR="004D0CCC" w:rsidRPr="00361AAC" w:rsidRDefault="004D0CCC" w:rsidP="004D0CCC">
      <w:pPr>
        <w:rPr>
          <w:rFonts w:cs="Arial"/>
        </w:rPr>
      </w:pPr>
    </w:p>
    <w:p w:rsidR="004D0CCC" w:rsidRPr="00361AAC" w:rsidRDefault="004D0CCC" w:rsidP="004D0CCC">
      <w:pPr>
        <w:pStyle w:val="ListParagraph"/>
        <w:numPr>
          <w:ilvl w:val="0"/>
          <w:numId w:val="2"/>
        </w:numPr>
        <w:spacing w:after="200" w:line="276" w:lineRule="auto"/>
        <w:contextualSpacing/>
        <w:rPr>
          <w:rFonts w:cs="Arial"/>
        </w:rPr>
      </w:pPr>
      <w:r w:rsidRPr="00361AAC">
        <w:rPr>
          <w:rFonts w:cs="Arial"/>
        </w:rPr>
        <w:t xml:space="preserve">If pre- or post-acquisition deep space averages have been selected, then retrieve the selected deep space averages.  Whichever is selected will be referred to as </w:t>
      </w:r>
      <w:r w:rsidRPr="00361AAC">
        <w:rPr>
          <w:rFonts w:cs="Arial"/>
          <w:i/>
        </w:rPr>
        <w:t>S(</w:t>
      </w:r>
      <w:proofErr w:type="spellStart"/>
      <w:r w:rsidRPr="00361AAC">
        <w:rPr>
          <w:rFonts w:cs="Arial"/>
          <w:i/>
        </w:rPr>
        <w:t>b,s,d</w:t>
      </w:r>
      <w:proofErr w:type="spellEnd"/>
      <w:r w:rsidRPr="00361AAC">
        <w:rPr>
          <w:rFonts w:cs="Arial"/>
          <w:i/>
        </w:rPr>
        <w:t>)</w:t>
      </w:r>
      <w:r w:rsidRPr="00361AAC">
        <w:rPr>
          <w:rFonts w:cs="Arial"/>
        </w:rPr>
        <w:t xml:space="preserve"> for the remainder of the algorithm, where  </w:t>
      </w:r>
      <w:r w:rsidRPr="00361AAC">
        <w:rPr>
          <w:rFonts w:cs="Arial"/>
          <w:i/>
        </w:rPr>
        <w:t>d</w:t>
      </w:r>
      <w:r w:rsidRPr="00361AAC">
        <w:rPr>
          <w:rFonts w:cs="Arial"/>
        </w:rPr>
        <w:t xml:space="preserve">=detector, </w:t>
      </w:r>
      <w:r w:rsidRPr="00361AAC">
        <w:rPr>
          <w:rFonts w:cs="Arial"/>
          <w:i/>
        </w:rPr>
        <w:t>s</w:t>
      </w:r>
      <w:r w:rsidRPr="00361AAC">
        <w:rPr>
          <w:rFonts w:cs="Arial"/>
        </w:rPr>
        <w:t xml:space="preserve">=SCA, and </w:t>
      </w:r>
      <w:r w:rsidRPr="00361AAC">
        <w:rPr>
          <w:rFonts w:cs="Arial"/>
          <w:i/>
        </w:rPr>
        <w:t>b</w:t>
      </w:r>
      <w:r w:rsidRPr="00361AAC">
        <w:rPr>
          <w:rFonts w:cs="Arial"/>
        </w:rPr>
        <w:t>=band</w:t>
      </w:r>
    </w:p>
    <w:p w:rsidR="004D0CCC" w:rsidRPr="00361AAC" w:rsidRDefault="004D0CCC" w:rsidP="004D0CCC">
      <w:pPr>
        <w:ind w:left="720"/>
        <w:rPr>
          <w:rFonts w:cs="Arial"/>
        </w:rPr>
      </w:pPr>
      <w:r w:rsidRPr="00361AAC">
        <w:rPr>
          <w:rFonts w:cs="Arial"/>
        </w:rPr>
        <w:t xml:space="preserve">If the average of the pre-and post-acquisitions is selected then retrieve the selected deep space averages and calculate S using equation (1).  </w:t>
      </w:r>
    </w:p>
    <w:p w:rsidR="004D0CCC" w:rsidRPr="00361AAC" w:rsidRDefault="004D0CCC" w:rsidP="004D0CCC">
      <w:pPr>
        <w:tabs>
          <w:tab w:val="left" w:pos="8640"/>
        </w:tabs>
        <w:ind w:firstLine="2700"/>
        <w:rPr>
          <w:rFonts w:cs="Arial"/>
        </w:rPr>
      </w:pPr>
      <w:r w:rsidRPr="00361AAC">
        <w:rPr>
          <w:rFonts w:cs="Arial"/>
          <w:position w:val="-24"/>
        </w:rPr>
        <w:object w:dxaOrig="3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30.75pt" o:ole="">
            <v:imagedata r:id="rId5" o:title=""/>
          </v:shape>
          <o:OLEObject Type="Embed" ProgID="Equation.3" ShapeID="_x0000_i1025" DrawAspect="Content" ObjectID="_1550577682" r:id="rId6"/>
        </w:object>
      </w:r>
      <w:r w:rsidRPr="00361AAC">
        <w:rPr>
          <w:rFonts w:cs="Arial"/>
        </w:rPr>
        <w:tab/>
        <w:t>(1)</w:t>
      </w:r>
    </w:p>
    <w:p w:rsidR="004D0CCC" w:rsidRPr="00361AAC" w:rsidRDefault="004D0CCC" w:rsidP="004D0CCC">
      <w:pPr>
        <w:tabs>
          <w:tab w:val="left" w:pos="8640"/>
        </w:tabs>
        <w:ind w:left="720"/>
        <w:rPr>
          <w:rFonts w:cs="Arial"/>
        </w:rPr>
      </w:pPr>
      <w:r w:rsidRPr="00361AAC">
        <w:rPr>
          <w:rFonts w:cs="Arial"/>
        </w:rPr>
        <w:t xml:space="preserve">If the dark and background responses from the CPF are desired, then retrieve the dark and background responses from the CPF (or dark response determination in the case of dark response) and calculate </w:t>
      </w:r>
      <w:r w:rsidRPr="00361AAC">
        <w:rPr>
          <w:rFonts w:cs="Arial"/>
          <w:i/>
        </w:rPr>
        <w:t xml:space="preserve">S </w:t>
      </w:r>
      <w:r w:rsidRPr="00361AAC">
        <w:rPr>
          <w:rFonts w:cs="Arial"/>
        </w:rPr>
        <w:t xml:space="preserve">using equation (2).  </w:t>
      </w:r>
    </w:p>
    <w:p w:rsidR="004D0CCC" w:rsidRPr="00361AAC" w:rsidRDefault="004D0CCC" w:rsidP="004D0CCC">
      <w:pPr>
        <w:tabs>
          <w:tab w:val="left" w:pos="2790"/>
          <w:tab w:val="left" w:pos="8640"/>
        </w:tabs>
        <w:rPr>
          <w:rFonts w:cs="Arial"/>
        </w:rPr>
      </w:pPr>
      <w:r w:rsidRPr="00361AAC">
        <w:rPr>
          <w:rFonts w:cs="Arial"/>
        </w:rPr>
        <w:tab/>
      </w:r>
      <w:r w:rsidRPr="00361AAC">
        <w:rPr>
          <w:rFonts w:cs="Arial"/>
          <w:position w:val="-10"/>
        </w:rPr>
        <w:object w:dxaOrig="3080" w:dyaOrig="340">
          <v:shape id="_x0000_i1026" type="#_x0000_t75" style="width:154.5pt;height:16.5pt" o:ole="">
            <v:imagedata r:id="rId7" o:title=""/>
          </v:shape>
          <o:OLEObject Type="Embed" ProgID="Equation.3" ShapeID="_x0000_i1026" DrawAspect="Content" ObjectID="_1550577683" r:id="rId8"/>
        </w:object>
      </w:r>
      <w:r w:rsidRPr="00361AAC">
        <w:rPr>
          <w:rFonts w:cs="Arial"/>
        </w:rPr>
        <w:tab/>
        <w:t>(2)</w:t>
      </w:r>
    </w:p>
    <w:p w:rsidR="004D0CCC" w:rsidRPr="00361AAC" w:rsidRDefault="004D0CCC" w:rsidP="004D0CCC">
      <w:pPr>
        <w:pStyle w:val="ListParagraph"/>
        <w:numPr>
          <w:ilvl w:val="0"/>
          <w:numId w:val="2"/>
        </w:numPr>
        <w:tabs>
          <w:tab w:val="left" w:pos="8640"/>
        </w:tabs>
        <w:spacing w:after="200" w:line="276" w:lineRule="auto"/>
        <w:contextualSpacing/>
        <w:rPr>
          <w:rFonts w:cs="Arial"/>
        </w:rPr>
      </w:pPr>
      <w:r w:rsidRPr="00361AAC">
        <w:rPr>
          <w:rFonts w:cs="Arial"/>
        </w:rPr>
        <w:t xml:space="preserve">To calculate the total bias, add the gain function offsets to the combined dark and background responses.  </w:t>
      </w:r>
    </w:p>
    <w:p w:rsidR="004D0CCC" w:rsidRPr="00361AAC" w:rsidRDefault="004D0CCC" w:rsidP="004D0CCC">
      <w:pPr>
        <w:tabs>
          <w:tab w:val="left" w:pos="2610"/>
          <w:tab w:val="left" w:pos="8640"/>
        </w:tabs>
        <w:rPr>
          <w:rFonts w:cs="Arial"/>
        </w:rPr>
      </w:pPr>
      <w:r w:rsidRPr="00361AAC">
        <w:rPr>
          <w:rFonts w:cs="Arial"/>
        </w:rPr>
        <w:tab/>
      </w:r>
      <w:r w:rsidRPr="00361AAC">
        <w:rPr>
          <w:rFonts w:cs="Arial"/>
          <w:position w:val="-12"/>
        </w:rPr>
        <w:object w:dxaOrig="3400" w:dyaOrig="360">
          <v:shape id="_x0000_i1027" type="#_x0000_t75" style="width:170.25pt;height:18pt" o:ole="">
            <v:imagedata r:id="rId9" o:title=""/>
          </v:shape>
          <o:OLEObject Type="Embed" ProgID="Equation.3" ShapeID="_x0000_i1027" DrawAspect="Content" ObjectID="_1550577684" r:id="rId10"/>
        </w:object>
      </w:r>
      <w:r w:rsidRPr="00361AAC">
        <w:rPr>
          <w:rFonts w:cs="Arial"/>
        </w:rPr>
        <w:tab/>
        <w:t>(3)</w:t>
      </w:r>
    </w:p>
    <w:p w:rsidR="004D0CCC" w:rsidRPr="00361AAC" w:rsidRDefault="004D0CCC" w:rsidP="004D0CCC">
      <w:pPr>
        <w:pStyle w:val="ListParagraph"/>
        <w:numPr>
          <w:ilvl w:val="0"/>
          <w:numId w:val="2"/>
        </w:numPr>
        <w:tabs>
          <w:tab w:val="left" w:pos="2610"/>
          <w:tab w:val="left" w:pos="8640"/>
        </w:tabs>
        <w:spacing w:after="200" w:line="276" w:lineRule="auto"/>
        <w:contextualSpacing/>
        <w:rPr>
          <w:rFonts w:cs="Arial"/>
        </w:rPr>
      </w:pPr>
      <w:r w:rsidRPr="00361AAC">
        <w:rPr>
          <w:rFonts w:cs="Arial"/>
        </w:rPr>
        <w:t xml:space="preserve">Remove the bias from the linearized scene.  </w:t>
      </w:r>
    </w:p>
    <w:p w:rsidR="004D0CCC" w:rsidRPr="00361AAC" w:rsidRDefault="004D0CCC" w:rsidP="004D0CCC">
      <w:pPr>
        <w:tabs>
          <w:tab w:val="left" w:pos="8640"/>
        </w:tabs>
        <w:ind w:firstLine="2250"/>
        <w:rPr>
          <w:rFonts w:cs="Arial"/>
        </w:rPr>
      </w:pPr>
      <w:r w:rsidRPr="00361AAC">
        <w:rPr>
          <w:rFonts w:cs="Arial"/>
          <w:position w:val="-10"/>
        </w:rPr>
        <w:object w:dxaOrig="4180" w:dyaOrig="340">
          <v:shape id="_x0000_i1028" type="#_x0000_t75" style="width:209.25pt;height:16.5pt" o:ole="">
            <v:imagedata r:id="rId11" o:title=""/>
          </v:shape>
          <o:OLEObject Type="Embed" ProgID="Equation.3" ShapeID="_x0000_i1028" DrawAspect="Content" ObjectID="_1550577685" r:id="rId12"/>
        </w:object>
      </w:r>
      <w:r w:rsidRPr="00361AAC">
        <w:rPr>
          <w:rFonts w:cs="Arial"/>
        </w:rPr>
        <w:tab/>
        <w:t>(4)</w:t>
      </w:r>
    </w:p>
    <w:p w:rsidR="004D0CCC" w:rsidRPr="00361AAC" w:rsidDel="00993EE1" w:rsidRDefault="004D0CCC" w:rsidP="004D0CCC">
      <w:pPr>
        <w:pStyle w:val="Heading4"/>
        <w:rPr>
          <w:rFonts w:cs="Arial"/>
        </w:rPr>
      </w:pPr>
      <w:bookmarkStart w:id="7" w:name="_Toc345688143"/>
      <w:r w:rsidRPr="00361AAC">
        <w:rPr>
          <w:rFonts w:cs="Arial"/>
        </w:rPr>
        <w:t>Maturity</w:t>
      </w:r>
      <w:bookmarkEnd w:id="7"/>
    </w:p>
    <w:p w:rsidR="004D0CCC" w:rsidRPr="00361AAC" w:rsidRDefault="004D0CCC" w:rsidP="004D0CCC">
      <w:pPr>
        <w:rPr>
          <w:rFonts w:cs="Arial"/>
        </w:rPr>
      </w:pPr>
      <w:r w:rsidRPr="00361AAC">
        <w:rPr>
          <w:rFonts w:cs="Arial"/>
        </w:rPr>
        <w:t xml:space="preserve">This algorithm will likely be correct for the flight FPA.  A native C implementation will be completed by the end of 2010 as part of the </w:t>
      </w:r>
      <w:r>
        <w:rPr>
          <w:rFonts w:cs="Arial"/>
        </w:rPr>
        <w:t>TIRS</w:t>
      </w:r>
      <w:r w:rsidRPr="00361AAC">
        <w:rPr>
          <w:rFonts w:cs="Arial"/>
        </w:rPr>
        <w:t xml:space="preserve"> Science Data Processor pipeline, and the plan is to integrate it with the </w:t>
      </w:r>
      <w:proofErr w:type="spellStart"/>
      <w:r w:rsidRPr="00361AAC">
        <w:rPr>
          <w:rFonts w:cs="Arial"/>
        </w:rPr>
        <w:t>CalVal</w:t>
      </w:r>
      <w:proofErr w:type="spellEnd"/>
      <w:r w:rsidRPr="00361AAC">
        <w:rPr>
          <w:rFonts w:cs="Arial"/>
        </w:rPr>
        <w:t xml:space="preserve"> toolkit.</w:t>
      </w:r>
    </w:p>
    <w:p w:rsidR="004D0CCC" w:rsidRPr="00361AAC" w:rsidRDefault="004D0CCC" w:rsidP="004D0CCC">
      <w:pPr>
        <w:rPr>
          <w:rFonts w:cs="Arial"/>
        </w:rPr>
      </w:pPr>
    </w:p>
    <w:p w:rsidR="004D0CCC" w:rsidRPr="00361AAC" w:rsidRDefault="004D0CCC" w:rsidP="004D0CCC">
      <w:pPr>
        <w:rPr>
          <w:rFonts w:cs="Arial"/>
        </w:rPr>
      </w:pPr>
      <w:r w:rsidRPr="00361AAC">
        <w:rPr>
          <w:rFonts w:cs="Arial"/>
        </w:rPr>
        <w:t>All of test data used was simulated or calculated from TVAC2 test data during a collect where the focal plane was looking at a cold plate meant to simulate deep space. The gain offsets, however were calculated from OBC data.  The first useful in-flight Background Response CPF values will come from the “space-look” data collected during the 90 day checkout.</w:t>
      </w:r>
    </w:p>
    <w:p w:rsidR="004D0CCC" w:rsidRPr="00361AAC" w:rsidRDefault="004D0CCC" w:rsidP="004D0CCC">
      <w:pPr>
        <w:rPr>
          <w:rFonts w:cs="Arial"/>
        </w:rPr>
      </w:pPr>
    </w:p>
    <w:p w:rsidR="004D0CCC" w:rsidRPr="00361AAC" w:rsidRDefault="004D0CCC" w:rsidP="004D0CCC">
      <w:pPr>
        <w:rPr>
          <w:rFonts w:cs="Arial"/>
        </w:rPr>
      </w:pPr>
      <w:r w:rsidRPr="00361AAC">
        <w:rPr>
          <w:rFonts w:cs="Arial"/>
        </w:rPr>
        <w:t xml:space="preserve">Expect to have more extensive test data sets as other algorithms are completed.  </w:t>
      </w:r>
    </w:p>
    <w:p w:rsidR="00000AB9" w:rsidRDefault="00000AB9">
      <w:bookmarkStart w:id="8" w:name="_GoBack"/>
      <w:bookmarkEnd w:id="8"/>
    </w:p>
    <w:sectPr w:rsidR="00000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573D6"/>
    <w:multiLevelType w:val="hybridMultilevel"/>
    <w:tmpl w:val="BA667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abstractNum w:abstractNumId="2" w15:restartNumberingAfterBreak="0">
    <w:nsid w:val="6FE03164"/>
    <w:multiLevelType w:val="hybridMultilevel"/>
    <w:tmpl w:val="B25E494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CC"/>
    <w:rsid w:val="00000AB9"/>
    <w:rsid w:val="004D0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4184F-37F6-474E-A9C4-B87927B44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CCC"/>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4D0CCC"/>
    <w:pPr>
      <w:keepNext/>
      <w:numPr>
        <w:numId w:val="3"/>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4D0CCC"/>
    <w:pPr>
      <w:keepNext/>
      <w:numPr>
        <w:ilvl w:val="1"/>
        <w:numId w:val="3"/>
      </w:numPr>
      <w:spacing w:before="240" w:after="60"/>
      <w:outlineLvl w:val="1"/>
    </w:pPr>
    <w:rPr>
      <w:rFonts w:cs="Arial"/>
      <w:b/>
      <w:bCs/>
      <w:iCs/>
      <w:sz w:val="28"/>
      <w:szCs w:val="28"/>
    </w:rPr>
  </w:style>
  <w:style w:type="paragraph" w:styleId="Heading3">
    <w:name w:val="heading 3"/>
    <w:basedOn w:val="Normal"/>
    <w:next w:val="Normal"/>
    <w:link w:val="Heading3Char"/>
    <w:qFormat/>
    <w:rsid w:val="004D0CCC"/>
    <w:pPr>
      <w:keepNext/>
      <w:numPr>
        <w:ilvl w:val="2"/>
        <w:numId w:val="3"/>
      </w:numPr>
      <w:spacing w:before="240" w:after="60"/>
      <w:outlineLvl w:val="2"/>
    </w:pPr>
    <w:rPr>
      <w:b/>
      <w:szCs w:val="20"/>
    </w:rPr>
  </w:style>
  <w:style w:type="paragraph" w:styleId="Heading4">
    <w:name w:val="heading 4"/>
    <w:basedOn w:val="Normal"/>
    <w:next w:val="Normal"/>
    <w:link w:val="Heading4Char"/>
    <w:qFormat/>
    <w:rsid w:val="004D0CCC"/>
    <w:pPr>
      <w:keepNext/>
      <w:numPr>
        <w:ilvl w:val="3"/>
        <w:numId w:val="3"/>
      </w:numPr>
      <w:spacing w:before="240" w:after="60"/>
      <w:outlineLvl w:val="3"/>
    </w:pPr>
    <w:rPr>
      <w:b/>
      <w:szCs w:val="20"/>
    </w:rPr>
  </w:style>
  <w:style w:type="paragraph" w:styleId="Heading5">
    <w:name w:val="heading 5"/>
    <w:basedOn w:val="Normal"/>
    <w:next w:val="Normal"/>
    <w:link w:val="Heading5Char"/>
    <w:qFormat/>
    <w:rsid w:val="004D0CCC"/>
    <w:pPr>
      <w:keepNext/>
      <w:numPr>
        <w:ilvl w:val="4"/>
        <w:numId w:val="3"/>
      </w:numPr>
      <w:spacing w:before="240" w:after="60"/>
      <w:outlineLvl w:val="4"/>
    </w:pPr>
    <w:rPr>
      <w:b/>
      <w:szCs w:val="20"/>
    </w:rPr>
  </w:style>
  <w:style w:type="paragraph" w:styleId="Heading6">
    <w:name w:val="heading 6"/>
    <w:basedOn w:val="Normal"/>
    <w:next w:val="Normal"/>
    <w:link w:val="Heading6Char"/>
    <w:qFormat/>
    <w:rsid w:val="004D0CCC"/>
    <w:pPr>
      <w:keepNext/>
      <w:numPr>
        <w:ilvl w:val="5"/>
        <w:numId w:val="3"/>
      </w:numPr>
      <w:spacing w:before="240" w:after="60"/>
      <w:outlineLvl w:val="5"/>
    </w:pPr>
    <w:rPr>
      <w:b/>
      <w:szCs w:val="20"/>
    </w:rPr>
  </w:style>
  <w:style w:type="paragraph" w:styleId="Heading7">
    <w:name w:val="heading 7"/>
    <w:basedOn w:val="Normal"/>
    <w:next w:val="Normal"/>
    <w:link w:val="Heading7Char"/>
    <w:qFormat/>
    <w:rsid w:val="004D0CCC"/>
    <w:pPr>
      <w:keepNext/>
      <w:numPr>
        <w:ilvl w:val="6"/>
        <w:numId w:val="3"/>
      </w:numPr>
      <w:spacing w:before="240" w:after="60"/>
      <w:outlineLvl w:val="6"/>
    </w:pPr>
    <w:rPr>
      <w:b/>
      <w:szCs w:val="20"/>
    </w:rPr>
  </w:style>
  <w:style w:type="paragraph" w:styleId="Heading8">
    <w:name w:val="heading 8"/>
    <w:basedOn w:val="Normal"/>
    <w:next w:val="Normal"/>
    <w:link w:val="Heading8Char"/>
    <w:qFormat/>
    <w:rsid w:val="004D0CCC"/>
    <w:pPr>
      <w:keepNext/>
      <w:numPr>
        <w:ilvl w:val="7"/>
        <w:numId w:val="3"/>
      </w:numPr>
      <w:spacing w:before="240" w:after="60"/>
      <w:outlineLvl w:val="7"/>
    </w:pPr>
    <w:rPr>
      <w:b/>
      <w:szCs w:val="20"/>
    </w:rPr>
  </w:style>
  <w:style w:type="paragraph" w:styleId="Heading9">
    <w:name w:val="heading 9"/>
    <w:basedOn w:val="Normal"/>
    <w:next w:val="Normal"/>
    <w:link w:val="Heading9Char"/>
    <w:qFormat/>
    <w:rsid w:val="004D0CCC"/>
    <w:pPr>
      <w:keepNext/>
      <w:numPr>
        <w:ilvl w:val="8"/>
        <w:numId w:val="3"/>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0CCC"/>
    <w:rPr>
      <w:rFonts w:ascii="Arial" w:eastAsia="Times New Roman" w:hAnsi="Arial" w:cs="Times New Roman"/>
      <w:b/>
      <w:sz w:val="32"/>
      <w:szCs w:val="20"/>
    </w:rPr>
  </w:style>
  <w:style w:type="character" w:customStyle="1" w:styleId="Heading2Char">
    <w:name w:val="Heading 2 Char"/>
    <w:basedOn w:val="DefaultParagraphFont"/>
    <w:link w:val="Heading2"/>
    <w:rsid w:val="004D0CCC"/>
    <w:rPr>
      <w:rFonts w:ascii="Arial" w:eastAsia="Times New Roman" w:hAnsi="Arial" w:cs="Arial"/>
      <w:b/>
      <w:bCs/>
      <w:iCs/>
      <w:sz w:val="28"/>
      <w:szCs w:val="28"/>
    </w:rPr>
  </w:style>
  <w:style w:type="character" w:customStyle="1" w:styleId="Heading3Char">
    <w:name w:val="Heading 3 Char"/>
    <w:basedOn w:val="DefaultParagraphFont"/>
    <w:link w:val="Heading3"/>
    <w:rsid w:val="004D0CCC"/>
    <w:rPr>
      <w:rFonts w:ascii="Arial" w:eastAsia="Times New Roman" w:hAnsi="Arial" w:cs="Times New Roman"/>
      <w:b/>
      <w:sz w:val="24"/>
      <w:szCs w:val="20"/>
    </w:rPr>
  </w:style>
  <w:style w:type="character" w:customStyle="1" w:styleId="Heading4Char">
    <w:name w:val="Heading 4 Char"/>
    <w:basedOn w:val="DefaultParagraphFont"/>
    <w:link w:val="Heading4"/>
    <w:rsid w:val="004D0CCC"/>
    <w:rPr>
      <w:rFonts w:ascii="Arial" w:eastAsia="Times New Roman" w:hAnsi="Arial" w:cs="Times New Roman"/>
      <w:b/>
      <w:sz w:val="24"/>
      <w:szCs w:val="20"/>
    </w:rPr>
  </w:style>
  <w:style w:type="character" w:customStyle="1" w:styleId="Heading5Char">
    <w:name w:val="Heading 5 Char"/>
    <w:basedOn w:val="DefaultParagraphFont"/>
    <w:link w:val="Heading5"/>
    <w:rsid w:val="004D0CCC"/>
    <w:rPr>
      <w:rFonts w:ascii="Arial" w:eastAsia="Times New Roman" w:hAnsi="Arial" w:cs="Times New Roman"/>
      <w:b/>
      <w:sz w:val="24"/>
      <w:szCs w:val="20"/>
    </w:rPr>
  </w:style>
  <w:style w:type="character" w:customStyle="1" w:styleId="Heading6Char">
    <w:name w:val="Heading 6 Char"/>
    <w:basedOn w:val="DefaultParagraphFont"/>
    <w:link w:val="Heading6"/>
    <w:rsid w:val="004D0CCC"/>
    <w:rPr>
      <w:rFonts w:ascii="Arial" w:eastAsia="Times New Roman" w:hAnsi="Arial" w:cs="Times New Roman"/>
      <w:b/>
      <w:sz w:val="24"/>
      <w:szCs w:val="20"/>
    </w:rPr>
  </w:style>
  <w:style w:type="character" w:customStyle="1" w:styleId="Heading7Char">
    <w:name w:val="Heading 7 Char"/>
    <w:basedOn w:val="DefaultParagraphFont"/>
    <w:link w:val="Heading7"/>
    <w:rsid w:val="004D0CCC"/>
    <w:rPr>
      <w:rFonts w:ascii="Arial" w:eastAsia="Times New Roman" w:hAnsi="Arial" w:cs="Times New Roman"/>
      <w:b/>
      <w:sz w:val="24"/>
      <w:szCs w:val="20"/>
    </w:rPr>
  </w:style>
  <w:style w:type="character" w:customStyle="1" w:styleId="Heading8Char">
    <w:name w:val="Heading 8 Char"/>
    <w:basedOn w:val="DefaultParagraphFont"/>
    <w:link w:val="Heading8"/>
    <w:rsid w:val="004D0CCC"/>
    <w:rPr>
      <w:rFonts w:ascii="Arial" w:eastAsia="Times New Roman" w:hAnsi="Arial" w:cs="Times New Roman"/>
      <w:b/>
      <w:sz w:val="24"/>
      <w:szCs w:val="20"/>
    </w:rPr>
  </w:style>
  <w:style w:type="character" w:customStyle="1" w:styleId="Heading9Char">
    <w:name w:val="Heading 9 Char"/>
    <w:basedOn w:val="DefaultParagraphFont"/>
    <w:link w:val="Heading9"/>
    <w:rsid w:val="004D0CCC"/>
    <w:rPr>
      <w:rFonts w:ascii="Arial" w:eastAsia="Times New Roman" w:hAnsi="Arial" w:cs="Arial"/>
      <w:b/>
      <w:sz w:val="24"/>
    </w:rPr>
  </w:style>
  <w:style w:type="paragraph" w:styleId="ListParagraph">
    <w:name w:val="List Paragraph"/>
    <w:basedOn w:val="Normal"/>
    <w:uiPriority w:val="34"/>
    <w:qFormat/>
    <w:rsid w:val="004D0C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3195</Characters>
  <Application>Microsoft Office Word</Application>
  <DocSecurity>0</DocSecurity>
  <Lines>26</Lines>
  <Paragraphs>7</Paragraphs>
  <ScaleCrop>false</ScaleCrop>
  <Company>USGS EROS</Company>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Anderson (CTR), Cody H</cp:lastModifiedBy>
  <cp:revision>1</cp:revision>
  <dcterms:created xsi:type="dcterms:W3CDTF">2017-03-09T19:37:00Z</dcterms:created>
  <dcterms:modified xsi:type="dcterms:W3CDTF">2017-03-09T19:38:00Z</dcterms:modified>
</cp:coreProperties>
</file>