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3A" w:rsidRPr="00361AAC" w:rsidRDefault="00F12F3A" w:rsidP="00F12F3A">
      <w:pPr>
        <w:pStyle w:val="Heading3"/>
        <w:rPr>
          <w:rFonts w:cs="Arial"/>
        </w:rPr>
      </w:pPr>
      <w:bookmarkStart w:id="0" w:name="_Toc345688131"/>
      <w:bookmarkStart w:id="1" w:name="_Toc350352010"/>
      <w:bookmarkStart w:id="2" w:name="_Toc476818661"/>
      <w:r>
        <w:rPr>
          <w:rFonts w:cs="Arial"/>
        </w:rPr>
        <w:t>TIRS</w:t>
      </w:r>
      <w:r w:rsidRPr="00361AAC">
        <w:rPr>
          <w:rFonts w:cs="Arial"/>
        </w:rPr>
        <w:t xml:space="preserve"> Bias Model Calibration</w:t>
      </w:r>
      <w:bookmarkEnd w:id="0"/>
      <w:bookmarkEnd w:id="1"/>
      <w:bookmarkEnd w:id="2"/>
    </w:p>
    <w:p w:rsidR="00F12F3A" w:rsidRPr="00361AAC" w:rsidRDefault="00F12F3A" w:rsidP="00F12F3A">
      <w:pPr>
        <w:pStyle w:val="Heading4"/>
        <w:rPr>
          <w:rFonts w:cs="Arial"/>
        </w:rPr>
      </w:pPr>
      <w:bookmarkStart w:id="3" w:name="_Toc345688132"/>
      <w:r w:rsidRPr="00361AAC">
        <w:rPr>
          <w:rFonts w:cs="Arial"/>
        </w:rPr>
        <w:t>Background</w:t>
      </w:r>
      <w:bookmarkEnd w:id="3"/>
    </w:p>
    <w:p w:rsidR="00F12F3A" w:rsidRPr="00361AAC" w:rsidRDefault="00F12F3A" w:rsidP="00F12F3A">
      <w:pPr>
        <w:rPr>
          <w:rFonts w:cs="Arial"/>
        </w:rPr>
      </w:pPr>
      <w:r w:rsidRPr="00361AAC">
        <w:rPr>
          <w:rFonts w:cs="Arial"/>
        </w:rPr>
        <w:t>Conversion from instrument digital counts (DN) to radiance (W/m^</w:t>
      </w:r>
      <w:r w:rsidRPr="00361AAC">
        <w:rPr>
          <w:rFonts w:cs="Arial"/>
          <w:vertAlign w:val="superscript"/>
        </w:rPr>
        <w:t>2</w:t>
      </w:r>
      <w:r w:rsidRPr="00361AAC">
        <w:rPr>
          <w:rFonts w:cs="Arial"/>
        </w:rPr>
        <w:t xml:space="preserve">-sr-µm) occurs in 3 steps: response linearization, bias removal, and gain application.  The bias that is removed in the second step is a combination of the dark and background response of the instrument, and is the total response of the instrument to “nothing,” or a very cold target.  On orbit the </w:t>
      </w:r>
      <w:r>
        <w:rPr>
          <w:rFonts w:cs="Arial"/>
        </w:rPr>
        <w:t>TIRS</w:t>
      </w:r>
      <w:r w:rsidRPr="00361AAC">
        <w:rPr>
          <w:rFonts w:cs="Arial"/>
        </w:rPr>
        <w:t xml:space="preserve"> instrument will collect data while looking at deep space.  The per-detector means of the data from these collects can be used as an estimate of the cumulative dark and background responses of the instrument.  </w:t>
      </w:r>
    </w:p>
    <w:p w:rsidR="00F12F3A" w:rsidRPr="00361AAC" w:rsidRDefault="00F12F3A" w:rsidP="00F12F3A">
      <w:pPr>
        <w:rPr>
          <w:rFonts w:cs="Arial"/>
        </w:rPr>
      </w:pPr>
      <w:r w:rsidRPr="00361AAC">
        <w:rPr>
          <w:rFonts w:cs="Arial"/>
        </w:rPr>
        <w:t xml:space="preserve">This algorithm only needs to be implemented as a part of Ingest, and should not be run using long (meaning longer than the typical 2 seconds) space look collects.  </w:t>
      </w:r>
    </w:p>
    <w:p w:rsidR="00F12F3A" w:rsidRPr="00361AAC" w:rsidRDefault="00F12F3A" w:rsidP="00F12F3A">
      <w:pPr>
        <w:pStyle w:val="Heading4"/>
        <w:rPr>
          <w:rFonts w:cs="Arial"/>
        </w:rPr>
      </w:pPr>
      <w:bookmarkStart w:id="4" w:name="_Toc345688133"/>
      <w:r w:rsidRPr="00361AAC">
        <w:rPr>
          <w:rFonts w:cs="Arial"/>
        </w:rPr>
        <w:t>Input</w:t>
      </w:r>
      <w:bookmarkEnd w:id="4"/>
    </w:p>
    <w:tbl>
      <w:tblPr>
        <w:tblpPr w:leftFromText="180" w:rightFromText="180" w:vertAnchor="text" w:horzAnchor="margin" w:tblpY="1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350"/>
        <w:gridCol w:w="990"/>
        <w:gridCol w:w="2430"/>
        <w:gridCol w:w="1230"/>
        <w:gridCol w:w="1120"/>
      </w:tblGrid>
      <w:tr w:rsidR="00F12F3A" w:rsidRPr="00361AAC" w:rsidTr="00132F6D">
        <w:trPr>
          <w:trHeight w:val="300"/>
        </w:trPr>
        <w:tc>
          <w:tcPr>
            <w:tcW w:w="2808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Symbol</w:t>
            </w:r>
          </w:p>
        </w:tc>
        <w:tc>
          <w:tcPr>
            <w:tcW w:w="990" w:type="dxa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Units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Level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Source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Type</w:t>
            </w:r>
          </w:p>
        </w:tc>
      </w:tr>
      <w:tr w:rsidR="00F12F3A" w:rsidRPr="00361AAC" w:rsidTr="00132F6D">
        <w:trPr>
          <w:trHeight w:val="300"/>
        </w:trPr>
        <w:tc>
          <w:tcPr>
            <w:tcW w:w="2808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Per Detector Means from latest space look (</w:t>
            </w:r>
            <w:r>
              <w:rPr>
                <w:rFonts w:cs="Arial"/>
                <w:sz w:val="20"/>
                <w:szCs w:val="20"/>
              </w:rPr>
              <w:t>TIRS</w:t>
            </w:r>
            <w:r w:rsidRPr="00361AA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F12F3A" w:rsidRPr="00361AAC" w:rsidRDefault="00F12F3A" w:rsidP="00132F6D">
            <w:pPr>
              <w:rPr>
                <w:rFonts w:cs="Arial"/>
                <w:i/>
                <w:sz w:val="20"/>
                <w:szCs w:val="20"/>
                <w:vertAlign w:val="subscript"/>
              </w:rPr>
            </w:pPr>
            <w:r w:rsidRPr="00361AAC">
              <w:rPr>
                <w:rFonts w:cs="Arial"/>
                <w:i/>
                <w:sz w:val="20"/>
                <w:szCs w:val="20"/>
              </w:rPr>
              <w:t>S</w:t>
            </w:r>
            <w:r w:rsidRPr="00361AAC">
              <w:rPr>
                <w:rFonts w:cs="Arial"/>
                <w:i/>
                <w:sz w:val="20"/>
                <w:szCs w:val="20"/>
                <w:vertAlign w:val="subscript"/>
              </w:rPr>
              <w:t>TIRS</w:t>
            </w:r>
          </w:p>
        </w:tc>
        <w:tc>
          <w:tcPr>
            <w:tcW w:w="990" w:type="dxa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DN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1AAC">
              <w:rPr>
                <w:rFonts w:cs="Arial"/>
                <w:sz w:val="20"/>
                <w:szCs w:val="20"/>
              </w:rPr>
              <w:t>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bands</w:t>
            </w:r>
            <w:r w:rsidRPr="00361AAC">
              <w:rPr>
                <w:rFonts w:cs="Arial"/>
                <w:sz w:val="20"/>
                <w:szCs w:val="20"/>
              </w:rPr>
              <w:t>xN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SCA</w:t>
            </w:r>
            <w:r w:rsidRPr="00361AAC">
              <w:rPr>
                <w:rFonts w:cs="Arial"/>
                <w:sz w:val="20"/>
                <w:szCs w:val="20"/>
              </w:rPr>
              <w:t>xN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detectors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Histogram Statistics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Float</w:t>
            </w:r>
          </w:p>
        </w:tc>
      </w:tr>
    </w:tbl>
    <w:p w:rsidR="00F12F3A" w:rsidRPr="00361AAC" w:rsidRDefault="00F12F3A" w:rsidP="00F12F3A">
      <w:pPr>
        <w:pStyle w:val="Heading4"/>
        <w:rPr>
          <w:rFonts w:cs="Arial"/>
        </w:rPr>
      </w:pPr>
      <w:bookmarkStart w:id="5" w:name="_Toc345688134"/>
      <w:r w:rsidRPr="00361AAC">
        <w:rPr>
          <w:rFonts w:cs="Arial"/>
        </w:rPr>
        <w:t>Output</w:t>
      </w:r>
      <w:bookmarkEnd w:id="5"/>
    </w:p>
    <w:tbl>
      <w:tblPr>
        <w:tblpPr w:leftFromText="180" w:rightFromText="180" w:vertAnchor="text" w:horzAnchor="margin" w:tblpY="1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350"/>
        <w:gridCol w:w="990"/>
        <w:gridCol w:w="2430"/>
        <w:gridCol w:w="1230"/>
        <w:gridCol w:w="1120"/>
      </w:tblGrid>
      <w:tr w:rsidR="00F12F3A" w:rsidRPr="00361AAC" w:rsidTr="00132F6D">
        <w:trPr>
          <w:trHeight w:val="300"/>
        </w:trPr>
        <w:tc>
          <w:tcPr>
            <w:tcW w:w="2808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Symbol</w:t>
            </w:r>
          </w:p>
        </w:tc>
        <w:tc>
          <w:tcPr>
            <w:tcW w:w="990" w:type="dxa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Units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Level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Target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1AAC">
              <w:rPr>
                <w:rFonts w:cs="Arial"/>
                <w:b/>
                <w:sz w:val="20"/>
                <w:szCs w:val="20"/>
              </w:rPr>
              <w:t>Type</w:t>
            </w:r>
          </w:p>
        </w:tc>
      </w:tr>
      <w:tr w:rsidR="00F12F3A" w:rsidRPr="00361AAC" w:rsidTr="00132F6D">
        <w:trPr>
          <w:trHeight w:val="300"/>
        </w:trPr>
        <w:tc>
          <w:tcPr>
            <w:tcW w:w="2808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Per Detector Means from latest space look (</w:t>
            </w:r>
            <w:r>
              <w:rPr>
                <w:rFonts w:cs="Arial"/>
                <w:sz w:val="20"/>
                <w:szCs w:val="20"/>
              </w:rPr>
              <w:t>TIRS</w:t>
            </w:r>
            <w:r w:rsidRPr="00361AA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F12F3A" w:rsidRPr="00361AAC" w:rsidRDefault="00F12F3A" w:rsidP="00132F6D">
            <w:pPr>
              <w:rPr>
                <w:rFonts w:cs="Arial"/>
                <w:i/>
                <w:sz w:val="20"/>
                <w:szCs w:val="20"/>
                <w:vertAlign w:val="subscript"/>
              </w:rPr>
            </w:pPr>
            <w:r w:rsidRPr="00361AAC">
              <w:rPr>
                <w:rFonts w:cs="Arial"/>
                <w:i/>
                <w:sz w:val="20"/>
                <w:szCs w:val="20"/>
              </w:rPr>
              <w:t>S</w:t>
            </w:r>
            <w:r w:rsidRPr="00361AAC">
              <w:rPr>
                <w:rFonts w:cs="Arial"/>
                <w:i/>
                <w:sz w:val="20"/>
                <w:szCs w:val="20"/>
                <w:vertAlign w:val="subscript"/>
              </w:rPr>
              <w:t>TIRS</w:t>
            </w:r>
          </w:p>
        </w:tc>
        <w:tc>
          <w:tcPr>
            <w:tcW w:w="990" w:type="dxa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DN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1AAC">
              <w:rPr>
                <w:rFonts w:cs="Arial"/>
                <w:sz w:val="20"/>
                <w:szCs w:val="20"/>
              </w:rPr>
              <w:t>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bands</w:t>
            </w:r>
            <w:r w:rsidRPr="00361AAC">
              <w:rPr>
                <w:rFonts w:cs="Arial"/>
                <w:sz w:val="20"/>
                <w:szCs w:val="20"/>
              </w:rPr>
              <w:t>xN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SCA</w:t>
            </w:r>
            <w:r w:rsidRPr="00361AAC">
              <w:rPr>
                <w:rFonts w:cs="Arial"/>
                <w:sz w:val="20"/>
                <w:szCs w:val="20"/>
              </w:rPr>
              <w:t>xN</w:t>
            </w:r>
            <w:r w:rsidRPr="00361AAC">
              <w:rPr>
                <w:rFonts w:cs="Arial"/>
                <w:sz w:val="20"/>
                <w:szCs w:val="20"/>
                <w:vertAlign w:val="subscript"/>
              </w:rPr>
              <w:t>detectors</w:t>
            </w:r>
            <w:proofErr w:type="spellEnd"/>
          </w:p>
        </w:tc>
        <w:tc>
          <w:tcPr>
            <w:tcW w:w="123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BPF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12F3A" w:rsidRPr="00361AAC" w:rsidRDefault="00F12F3A" w:rsidP="00132F6D">
            <w:pPr>
              <w:rPr>
                <w:rFonts w:cs="Arial"/>
                <w:sz w:val="20"/>
                <w:szCs w:val="20"/>
              </w:rPr>
            </w:pPr>
            <w:r w:rsidRPr="00361AAC">
              <w:rPr>
                <w:rFonts w:cs="Arial"/>
                <w:sz w:val="20"/>
                <w:szCs w:val="20"/>
              </w:rPr>
              <w:t>Float</w:t>
            </w:r>
          </w:p>
        </w:tc>
      </w:tr>
    </w:tbl>
    <w:p w:rsidR="00F12F3A" w:rsidRPr="00361AAC" w:rsidRDefault="00F12F3A" w:rsidP="00F12F3A">
      <w:pPr>
        <w:pStyle w:val="Heading4"/>
        <w:rPr>
          <w:rFonts w:cs="Arial"/>
        </w:rPr>
      </w:pPr>
      <w:bookmarkStart w:id="6" w:name="_Toc345688135"/>
      <w:r w:rsidRPr="00361AAC">
        <w:rPr>
          <w:rFonts w:cs="Arial"/>
        </w:rPr>
        <w:t>Options</w:t>
      </w:r>
      <w:bookmarkEnd w:id="6"/>
    </w:p>
    <w:p w:rsidR="00F12F3A" w:rsidRPr="00361AAC" w:rsidRDefault="00F12F3A" w:rsidP="00F12F3A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cs="Arial"/>
        </w:rPr>
      </w:pPr>
      <w:r w:rsidRPr="00361AAC">
        <w:rPr>
          <w:rFonts w:cs="Arial"/>
        </w:rPr>
        <w:t xml:space="preserve">Start and stop date/time of desired means (T0 and T1).  Normally T0 should be the stop of the pre-acquisition deep space collect andT1 should be the start of the post-acquisition deep space </w:t>
      </w:r>
      <w:proofErr w:type="gramStart"/>
      <w:r w:rsidRPr="00361AAC">
        <w:rPr>
          <w:rFonts w:cs="Arial"/>
        </w:rPr>
        <w:t>collect .</w:t>
      </w:r>
      <w:proofErr w:type="gramEnd"/>
      <w:r w:rsidRPr="00361AAC">
        <w:rPr>
          <w:rFonts w:cs="Arial"/>
        </w:rPr>
        <w:t xml:space="preserve">  </w:t>
      </w:r>
    </w:p>
    <w:p w:rsidR="00F12F3A" w:rsidRPr="00361AAC" w:rsidRDefault="00F12F3A" w:rsidP="00F12F3A">
      <w:pPr>
        <w:pStyle w:val="Heading4"/>
        <w:rPr>
          <w:rFonts w:cs="Arial"/>
        </w:rPr>
      </w:pPr>
      <w:bookmarkStart w:id="7" w:name="_Toc345688136"/>
      <w:r w:rsidRPr="00361AAC">
        <w:rPr>
          <w:rFonts w:cs="Arial"/>
        </w:rPr>
        <w:t>Procedure</w:t>
      </w:r>
      <w:bookmarkEnd w:id="7"/>
    </w:p>
    <w:p w:rsidR="00F12F3A" w:rsidRPr="00361AAC" w:rsidRDefault="00F12F3A" w:rsidP="00F12F3A">
      <w:pPr>
        <w:rPr>
          <w:rFonts w:cs="Arial"/>
        </w:rPr>
      </w:pPr>
      <w:r w:rsidRPr="00361AAC">
        <w:rPr>
          <w:rFonts w:cs="Arial"/>
        </w:rPr>
        <w:t xml:space="preserve">Retrieve the histogram statistics from one collect each of </w:t>
      </w:r>
      <w:r>
        <w:rPr>
          <w:rFonts w:cs="Arial"/>
        </w:rPr>
        <w:t>TIRS</w:t>
      </w:r>
      <w:r w:rsidRPr="00361AAC">
        <w:rPr>
          <w:rFonts w:cs="Arial"/>
        </w:rPr>
        <w:t xml:space="preserve"> space look data acquired prior to the desired start date/time (T0) and after the desired stop date/time (T1) and write these to the BPF database.</w:t>
      </w:r>
    </w:p>
    <w:p w:rsidR="00000AB9" w:rsidRDefault="00000AB9">
      <w:bookmarkStart w:id="8" w:name="_GoBack"/>
      <w:bookmarkEnd w:id="8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" w15:restartNumberingAfterBreak="0">
    <w:nsid w:val="4ACC485E"/>
    <w:multiLevelType w:val="hybridMultilevel"/>
    <w:tmpl w:val="27BE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3A"/>
    <w:rsid w:val="00000AB9"/>
    <w:rsid w:val="00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E4C5F-CB75-42C7-A37B-F1E787B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F3A"/>
    <w:pPr>
      <w:keepNext/>
      <w:numPr>
        <w:numId w:val="2"/>
      </w:numPr>
      <w:pBdr>
        <w:bottom w:val="single" w:sz="12" w:space="1" w:color="auto"/>
      </w:pBdr>
      <w:tabs>
        <w:tab w:val="clear" w:pos="1440"/>
        <w:tab w:val="left" w:pos="1800"/>
      </w:tabs>
      <w:spacing w:after="240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F12F3A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2F3A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F12F3A"/>
    <w:pPr>
      <w:keepNext/>
      <w:numPr>
        <w:ilvl w:val="3"/>
        <w:numId w:val="2"/>
      </w:numPr>
      <w:spacing w:before="240" w:after="6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F12F3A"/>
    <w:pPr>
      <w:keepNext/>
      <w:numPr>
        <w:ilvl w:val="4"/>
        <w:numId w:val="2"/>
      </w:numPr>
      <w:spacing w:before="240" w:after="6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F12F3A"/>
    <w:pPr>
      <w:keepNext/>
      <w:numPr>
        <w:ilvl w:val="5"/>
        <w:numId w:val="2"/>
      </w:numPr>
      <w:spacing w:before="240" w:after="6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12F3A"/>
    <w:pPr>
      <w:keepNext/>
      <w:numPr>
        <w:ilvl w:val="6"/>
        <w:numId w:val="2"/>
      </w:numPr>
      <w:spacing w:before="240" w:after="6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12F3A"/>
    <w:pPr>
      <w:keepNext/>
      <w:numPr>
        <w:ilvl w:val="7"/>
        <w:numId w:val="2"/>
      </w:numPr>
      <w:spacing w:before="240" w:after="6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F12F3A"/>
    <w:pPr>
      <w:keepNext/>
      <w:numPr>
        <w:ilvl w:val="8"/>
        <w:numId w:val="2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F3A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F12F3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12F3A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12F3A"/>
    <w:rPr>
      <w:rFonts w:ascii="Arial" w:eastAsia="Times New Roman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F12F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USGS EROS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1</cp:revision>
  <dcterms:created xsi:type="dcterms:W3CDTF">2017-03-09T19:37:00Z</dcterms:created>
  <dcterms:modified xsi:type="dcterms:W3CDTF">2017-03-09T19:37:00Z</dcterms:modified>
</cp:coreProperties>
</file>