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FE4" w:rsidRPr="00361AAC" w:rsidRDefault="00D70FE4" w:rsidP="00D70FE4">
      <w:pPr>
        <w:pStyle w:val="Heading3"/>
        <w:rPr>
          <w:rFonts w:cs="Arial"/>
        </w:rPr>
      </w:pPr>
      <w:bookmarkStart w:id="0" w:name="_Toc340837789"/>
      <w:bookmarkStart w:id="1" w:name="_Toc345688041"/>
      <w:bookmarkStart w:id="2" w:name="_Toc350351992"/>
      <w:bookmarkStart w:id="3" w:name="_Toc476818643"/>
      <w:r w:rsidRPr="00361AAC">
        <w:rPr>
          <w:rFonts w:cs="Arial"/>
        </w:rPr>
        <w:t>Automated Cloud Cover Assessment ACCA</w:t>
      </w:r>
      <w:bookmarkEnd w:id="2"/>
      <w:bookmarkEnd w:id="3"/>
    </w:p>
    <w:p w:rsidR="00D70FE4" w:rsidRPr="00361AAC" w:rsidRDefault="00D70FE4" w:rsidP="00D70FE4">
      <w:pPr>
        <w:pStyle w:val="Heading4"/>
        <w:rPr>
          <w:rFonts w:cs="Arial"/>
        </w:rPr>
      </w:pPr>
      <w:r w:rsidRPr="00361AAC">
        <w:rPr>
          <w:rFonts w:cs="Arial"/>
        </w:rPr>
        <w:t>Background/Introduction</w:t>
      </w:r>
    </w:p>
    <w:p w:rsidR="00D70FE4" w:rsidRPr="00361AAC" w:rsidRDefault="00D70FE4" w:rsidP="00D70FE4">
      <w:pPr>
        <w:rPr>
          <w:rFonts w:cs="Arial"/>
        </w:rPr>
      </w:pPr>
      <w:r w:rsidRPr="00361AAC">
        <w:rPr>
          <w:rFonts w:cs="Arial"/>
        </w:rPr>
        <w:t xml:space="preserve">Cloud cover assessment for </w:t>
      </w:r>
      <w:r>
        <w:rPr>
          <w:rFonts w:cs="Arial"/>
        </w:rPr>
        <w:t>L8/9</w:t>
      </w:r>
      <w:r w:rsidRPr="00361AAC">
        <w:rPr>
          <w:rFonts w:cs="Arial"/>
        </w:rPr>
        <w:t xml:space="preserve"> will be performed via a series of intermediate CCA algorithms, whose outputs will be resolved into a final mask.  The ACCA (Automated Cloud Cover Assessment) algorithm is one such intermediate process.  It is a decision tree based on the L7 ACCA algorithm.  The output of the ACCA algorithms is an intermediate CCA mask.</w:t>
      </w:r>
    </w:p>
    <w:p w:rsidR="00D70FE4" w:rsidRPr="00361AAC" w:rsidRDefault="00D70FE4" w:rsidP="00D70FE4">
      <w:pPr>
        <w:pStyle w:val="Heading4"/>
        <w:rPr>
          <w:rFonts w:cs="Arial"/>
        </w:rPr>
      </w:pPr>
      <w:r w:rsidRPr="00361AAC">
        <w:rPr>
          <w:rFonts w:cs="Arial"/>
        </w:rPr>
        <w:t>Inputs</w:t>
      </w:r>
    </w:p>
    <w:p w:rsidR="00D70FE4" w:rsidRPr="00361AAC" w:rsidRDefault="00D70FE4" w:rsidP="00D70FE4">
      <w:pPr>
        <w:rPr>
          <w:rFonts w:cs="Arial"/>
        </w:rPr>
      </w:pPr>
    </w:p>
    <w:tbl>
      <w:tblPr>
        <w:tblW w:w="8761" w:type="dxa"/>
        <w:tblInd w:w="95" w:type="dxa"/>
        <w:tblLook w:val="0000" w:firstRow="0" w:lastRow="0" w:firstColumn="0" w:lastColumn="0" w:noHBand="0" w:noVBand="0"/>
      </w:tblPr>
      <w:tblGrid>
        <w:gridCol w:w="3523"/>
        <w:gridCol w:w="1550"/>
        <w:gridCol w:w="1352"/>
        <w:gridCol w:w="1223"/>
        <w:gridCol w:w="1223"/>
      </w:tblGrid>
      <w:tr w:rsidR="00D70FE4" w:rsidRPr="00361AAC" w:rsidTr="00132F6D">
        <w:trPr>
          <w:trHeight w:val="300"/>
        </w:trPr>
        <w:tc>
          <w:tcPr>
            <w:tcW w:w="3523" w:type="dxa"/>
            <w:tcBorders>
              <w:top w:val="nil"/>
              <w:left w:val="nil"/>
              <w:bottom w:val="nil"/>
              <w:right w:val="nil"/>
            </w:tcBorders>
            <w:shd w:val="clear" w:color="auto" w:fill="auto"/>
            <w:noWrap/>
          </w:tcPr>
          <w:p w:rsidR="00D70FE4" w:rsidRPr="00361AAC" w:rsidRDefault="00D70FE4" w:rsidP="00132F6D">
            <w:pPr>
              <w:rPr>
                <w:rFonts w:cs="Arial"/>
                <w:b/>
                <w:szCs w:val="20"/>
                <w:lang w:bidi="x-none"/>
              </w:rPr>
            </w:pPr>
            <w:r w:rsidRPr="00361AAC">
              <w:rPr>
                <w:rFonts w:cs="Arial"/>
                <w:b/>
                <w:szCs w:val="20"/>
                <w:lang w:bidi="x-none"/>
              </w:rPr>
              <w:t xml:space="preserve">Descriptions </w:t>
            </w:r>
          </w:p>
        </w:tc>
        <w:tc>
          <w:tcPr>
            <w:tcW w:w="1440" w:type="dxa"/>
            <w:tcBorders>
              <w:top w:val="nil"/>
              <w:left w:val="nil"/>
              <w:bottom w:val="nil"/>
              <w:right w:val="nil"/>
            </w:tcBorders>
          </w:tcPr>
          <w:p w:rsidR="00D70FE4" w:rsidRPr="00361AAC" w:rsidRDefault="00D70FE4" w:rsidP="00132F6D">
            <w:pPr>
              <w:rPr>
                <w:rFonts w:cs="Arial"/>
                <w:b/>
                <w:szCs w:val="20"/>
                <w:lang w:bidi="x-none"/>
              </w:rPr>
            </w:pPr>
            <w:r w:rsidRPr="00361AAC">
              <w:rPr>
                <w:rFonts w:cs="Arial"/>
                <w:b/>
                <w:szCs w:val="20"/>
                <w:lang w:bidi="x-none"/>
              </w:rPr>
              <w:t>Units</w:t>
            </w:r>
          </w:p>
        </w:tc>
        <w:tc>
          <w:tcPr>
            <w:tcW w:w="1352" w:type="dxa"/>
            <w:tcBorders>
              <w:top w:val="nil"/>
              <w:left w:val="nil"/>
              <w:bottom w:val="nil"/>
              <w:right w:val="nil"/>
            </w:tcBorders>
            <w:shd w:val="clear" w:color="auto" w:fill="auto"/>
            <w:noWrap/>
          </w:tcPr>
          <w:p w:rsidR="00D70FE4" w:rsidRPr="00361AAC" w:rsidRDefault="00D70FE4" w:rsidP="00132F6D">
            <w:pPr>
              <w:rPr>
                <w:rFonts w:cs="Arial"/>
                <w:b/>
                <w:szCs w:val="20"/>
                <w:lang w:bidi="x-none"/>
              </w:rPr>
            </w:pPr>
            <w:r w:rsidRPr="00361AAC">
              <w:rPr>
                <w:rFonts w:cs="Arial"/>
                <w:b/>
                <w:szCs w:val="20"/>
                <w:lang w:bidi="x-none"/>
              </w:rPr>
              <w:t xml:space="preserve">Level </w:t>
            </w:r>
          </w:p>
        </w:tc>
        <w:tc>
          <w:tcPr>
            <w:tcW w:w="1223" w:type="dxa"/>
            <w:tcBorders>
              <w:top w:val="nil"/>
              <w:left w:val="nil"/>
              <w:bottom w:val="nil"/>
              <w:right w:val="nil"/>
            </w:tcBorders>
            <w:shd w:val="clear" w:color="auto" w:fill="auto"/>
            <w:noWrap/>
          </w:tcPr>
          <w:p w:rsidR="00D70FE4" w:rsidRPr="00361AAC" w:rsidRDefault="00D70FE4" w:rsidP="00132F6D">
            <w:pPr>
              <w:rPr>
                <w:rFonts w:cs="Arial"/>
                <w:b/>
                <w:szCs w:val="20"/>
                <w:lang w:bidi="x-none"/>
              </w:rPr>
            </w:pPr>
            <w:r w:rsidRPr="00361AAC">
              <w:rPr>
                <w:rFonts w:cs="Arial"/>
                <w:b/>
                <w:szCs w:val="20"/>
                <w:lang w:bidi="x-none"/>
              </w:rPr>
              <w:t>Source</w:t>
            </w:r>
          </w:p>
        </w:tc>
        <w:tc>
          <w:tcPr>
            <w:tcW w:w="1223" w:type="dxa"/>
            <w:tcBorders>
              <w:top w:val="nil"/>
              <w:left w:val="nil"/>
              <w:bottom w:val="nil"/>
              <w:right w:val="nil"/>
            </w:tcBorders>
            <w:shd w:val="clear" w:color="auto" w:fill="auto"/>
            <w:noWrap/>
          </w:tcPr>
          <w:p w:rsidR="00D70FE4" w:rsidRPr="00361AAC" w:rsidRDefault="00D70FE4" w:rsidP="00132F6D">
            <w:pPr>
              <w:rPr>
                <w:rFonts w:cs="Arial"/>
                <w:b/>
                <w:szCs w:val="20"/>
                <w:lang w:bidi="x-none"/>
              </w:rPr>
            </w:pPr>
            <w:r w:rsidRPr="00361AAC">
              <w:rPr>
                <w:rFonts w:cs="Arial"/>
                <w:b/>
                <w:szCs w:val="20"/>
                <w:lang w:bidi="x-none"/>
              </w:rPr>
              <w:t>Type</w:t>
            </w:r>
          </w:p>
        </w:tc>
      </w:tr>
      <w:tr w:rsidR="00D70FE4" w:rsidRPr="00361AAC" w:rsidTr="00132F6D">
        <w:trPr>
          <w:trHeight w:val="300"/>
        </w:trPr>
        <w:tc>
          <w:tcPr>
            <w:tcW w:w="3523" w:type="dxa"/>
            <w:tcBorders>
              <w:top w:val="nil"/>
              <w:left w:val="nil"/>
              <w:bottom w:val="nil"/>
              <w:right w:val="nil"/>
            </w:tcBorders>
            <w:shd w:val="clear" w:color="auto" w:fill="auto"/>
            <w:noWrap/>
          </w:tcPr>
          <w:p w:rsidR="00D70FE4" w:rsidRPr="00361AAC" w:rsidRDefault="00D70FE4" w:rsidP="00132F6D">
            <w:pPr>
              <w:rPr>
                <w:rFonts w:cs="Arial"/>
                <w:szCs w:val="20"/>
                <w:lang w:bidi="x-none"/>
              </w:rPr>
            </w:pPr>
            <w:r>
              <w:rPr>
                <w:rFonts w:cs="Arial"/>
                <w:szCs w:val="20"/>
                <w:lang w:bidi="x-none"/>
              </w:rPr>
              <w:t>OLI</w:t>
            </w:r>
            <w:r w:rsidRPr="00361AAC">
              <w:rPr>
                <w:rFonts w:cs="Arial"/>
                <w:szCs w:val="20"/>
                <w:lang w:bidi="x-none"/>
              </w:rPr>
              <w:t xml:space="preserve"> Scene data (L1G), as TOA reflectance</w:t>
            </w:r>
          </w:p>
        </w:tc>
        <w:tc>
          <w:tcPr>
            <w:tcW w:w="1440" w:type="dxa"/>
            <w:tcBorders>
              <w:top w:val="nil"/>
              <w:left w:val="nil"/>
              <w:bottom w:val="nil"/>
              <w:right w:val="nil"/>
            </w:tcBorders>
          </w:tcPr>
          <w:p w:rsidR="00D70FE4" w:rsidRPr="00361AAC" w:rsidRDefault="00D70FE4" w:rsidP="00132F6D">
            <w:pPr>
              <w:rPr>
                <w:rFonts w:cs="Arial"/>
                <w:szCs w:val="20"/>
                <w:lang w:bidi="x-none"/>
              </w:rPr>
            </w:pPr>
            <w:r w:rsidRPr="00361AAC">
              <w:rPr>
                <w:rFonts w:cs="Arial"/>
                <w:szCs w:val="20"/>
                <w:lang w:bidi="x-none"/>
              </w:rPr>
              <w:t>none (reflectance)</w:t>
            </w:r>
          </w:p>
        </w:tc>
        <w:tc>
          <w:tcPr>
            <w:tcW w:w="1352" w:type="dxa"/>
            <w:tcBorders>
              <w:top w:val="nil"/>
              <w:left w:val="nil"/>
              <w:bottom w:val="nil"/>
              <w:right w:val="nil"/>
            </w:tcBorders>
            <w:shd w:val="clear" w:color="auto" w:fill="auto"/>
            <w:noWrap/>
          </w:tcPr>
          <w:p w:rsidR="00D70FE4" w:rsidRPr="00361AAC" w:rsidRDefault="00D70FE4" w:rsidP="00132F6D">
            <w:pPr>
              <w:rPr>
                <w:rFonts w:cs="Arial"/>
                <w:szCs w:val="20"/>
                <w:lang w:bidi="x-none"/>
              </w:rPr>
            </w:pPr>
            <w:r w:rsidRPr="00361AAC">
              <w:rPr>
                <w:rFonts w:cs="Arial"/>
                <w:szCs w:val="20"/>
                <w:lang w:bidi="x-none"/>
              </w:rPr>
              <w:t xml:space="preserve">Scene, </w:t>
            </w:r>
            <w:r>
              <w:rPr>
                <w:rFonts w:cs="Arial"/>
                <w:szCs w:val="20"/>
                <w:lang w:bidi="x-none"/>
              </w:rPr>
              <w:t>OLI</w:t>
            </w:r>
            <w:r w:rsidRPr="00361AAC">
              <w:rPr>
                <w:rFonts w:cs="Arial"/>
                <w:szCs w:val="20"/>
                <w:lang w:bidi="x-none"/>
              </w:rPr>
              <w:t xml:space="preserve"> Bands 2-7.</w:t>
            </w:r>
          </w:p>
        </w:tc>
        <w:tc>
          <w:tcPr>
            <w:tcW w:w="1223" w:type="dxa"/>
            <w:tcBorders>
              <w:top w:val="nil"/>
              <w:left w:val="nil"/>
              <w:bottom w:val="nil"/>
              <w:right w:val="nil"/>
            </w:tcBorders>
            <w:shd w:val="clear" w:color="auto" w:fill="auto"/>
            <w:noWrap/>
          </w:tcPr>
          <w:p w:rsidR="00D70FE4" w:rsidRPr="00361AAC" w:rsidRDefault="00D70FE4" w:rsidP="00132F6D">
            <w:pPr>
              <w:rPr>
                <w:rFonts w:cs="Arial"/>
                <w:sz w:val="20"/>
                <w:szCs w:val="20"/>
                <w:lang w:bidi="x-none"/>
              </w:rPr>
            </w:pPr>
          </w:p>
        </w:tc>
        <w:tc>
          <w:tcPr>
            <w:tcW w:w="1223" w:type="dxa"/>
            <w:tcBorders>
              <w:top w:val="nil"/>
              <w:left w:val="nil"/>
              <w:bottom w:val="nil"/>
              <w:right w:val="nil"/>
            </w:tcBorders>
            <w:shd w:val="clear" w:color="auto" w:fill="auto"/>
            <w:noWrap/>
          </w:tcPr>
          <w:p w:rsidR="00D70FE4" w:rsidRPr="00361AAC" w:rsidRDefault="00D70FE4" w:rsidP="00132F6D">
            <w:pPr>
              <w:rPr>
                <w:rFonts w:cs="Arial"/>
                <w:szCs w:val="20"/>
                <w:lang w:bidi="x-none"/>
              </w:rPr>
            </w:pPr>
            <w:r w:rsidRPr="00361AAC">
              <w:rPr>
                <w:rFonts w:cs="Arial"/>
                <w:szCs w:val="20"/>
                <w:lang w:bidi="x-none"/>
              </w:rPr>
              <w:t>float</w:t>
            </w:r>
          </w:p>
        </w:tc>
      </w:tr>
      <w:tr w:rsidR="00D70FE4" w:rsidRPr="00361AAC" w:rsidTr="00132F6D">
        <w:trPr>
          <w:trHeight w:val="300"/>
        </w:trPr>
        <w:tc>
          <w:tcPr>
            <w:tcW w:w="3523" w:type="dxa"/>
            <w:tcBorders>
              <w:top w:val="nil"/>
              <w:left w:val="nil"/>
              <w:bottom w:val="nil"/>
              <w:right w:val="nil"/>
            </w:tcBorders>
            <w:shd w:val="clear" w:color="auto" w:fill="auto"/>
            <w:noWrap/>
          </w:tcPr>
          <w:p w:rsidR="00D70FE4" w:rsidRPr="00361AAC" w:rsidRDefault="00D70FE4" w:rsidP="00132F6D">
            <w:pPr>
              <w:rPr>
                <w:rFonts w:cs="Arial"/>
                <w:szCs w:val="20"/>
                <w:lang w:bidi="x-none"/>
              </w:rPr>
            </w:pPr>
            <w:r>
              <w:rPr>
                <w:rFonts w:cs="Arial"/>
                <w:szCs w:val="20"/>
                <w:lang w:bidi="x-none"/>
              </w:rPr>
              <w:t>TIRS</w:t>
            </w:r>
            <w:r w:rsidRPr="00361AAC">
              <w:rPr>
                <w:rFonts w:cs="Arial"/>
                <w:szCs w:val="20"/>
                <w:lang w:bidi="x-none"/>
              </w:rPr>
              <w:t xml:space="preserve"> scene data (L1G), as TOA radiance</w:t>
            </w:r>
          </w:p>
        </w:tc>
        <w:tc>
          <w:tcPr>
            <w:tcW w:w="1440" w:type="dxa"/>
            <w:tcBorders>
              <w:top w:val="nil"/>
              <w:left w:val="nil"/>
              <w:bottom w:val="nil"/>
              <w:right w:val="nil"/>
            </w:tcBorders>
          </w:tcPr>
          <w:p w:rsidR="00D70FE4" w:rsidRPr="00361AAC" w:rsidRDefault="00D70FE4" w:rsidP="00132F6D">
            <w:pPr>
              <w:rPr>
                <w:rFonts w:cs="Arial"/>
                <w:szCs w:val="20"/>
                <w:lang w:bidi="x-none"/>
              </w:rPr>
            </w:pPr>
            <w:r w:rsidRPr="00361AAC">
              <w:rPr>
                <w:rFonts w:cs="Arial"/>
                <w:szCs w:val="20"/>
                <w:lang w:bidi="x-none"/>
              </w:rPr>
              <w:t>radiance</w:t>
            </w:r>
          </w:p>
        </w:tc>
        <w:tc>
          <w:tcPr>
            <w:tcW w:w="1352" w:type="dxa"/>
            <w:tcBorders>
              <w:top w:val="nil"/>
              <w:left w:val="nil"/>
              <w:bottom w:val="nil"/>
              <w:right w:val="nil"/>
            </w:tcBorders>
            <w:shd w:val="clear" w:color="auto" w:fill="auto"/>
            <w:noWrap/>
          </w:tcPr>
          <w:p w:rsidR="00D70FE4" w:rsidRPr="00361AAC" w:rsidRDefault="00D70FE4" w:rsidP="00132F6D">
            <w:pPr>
              <w:rPr>
                <w:rFonts w:cs="Arial"/>
                <w:szCs w:val="20"/>
                <w:lang w:bidi="x-none"/>
              </w:rPr>
            </w:pPr>
            <w:r w:rsidRPr="00361AAC">
              <w:rPr>
                <w:rFonts w:cs="Arial"/>
                <w:szCs w:val="20"/>
                <w:lang w:bidi="x-none"/>
              </w:rPr>
              <w:t xml:space="preserve">Scene, </w:t>
            </w:r>
            <w:r>
              <w:rPr>
                <w:rFonts w:cs="Arial"/>
                <w:szCs w:val="20"/>
                <w:lang w:bidi="x-none"/>
              </w:rPr>
              <w:t>TIRS</w:t>
            </w:r>
            <w:r w:rsidRPr="00361AAC">
              <w:rPr>
                <w:rFonts w:cs="Arial"/>
                <w:szCs w:val="20"/>
                <w:lang w:bidi="x-none"/>
              </w:rPr>
              <w:t xml:space="preserve"> Band 1.</w:t>
            </w:r>
          </w:p>
        </w:tc>
        <w:tc>
          <w:tcPr>
            <w:tcW w:w="1223" w:type="dxa"/>
            <w:tcBorders>
              <w:top w:val="nil"/>
              <w:left w:val="nil"/>
              <w:bottom w:val="nil"/>
              <w:right w:val="nil"/>
            </w:tcBorders>
            <w:shd w:val="clear" w:color="auto" w:fill="auto"/>
            <w:noWrap/>
          </w:tcPr>
          <w:p w:rsidR="00D70FE4" w:rsidRPr="00361AAC" w:rsidRDefault="00D70FE4" w:rsidP="00132F6D">
            <w:pPr>
              <w:rPr>
                <w:rFonts w:cs="Arial"/>
                <w:szCs w:val="20"/>
                <w:lang w:bidi="x-none"/>
              </w:rPr>
            </w:pPr>
          </w:p>
        </w:tc>
        <w:tc>
          <w:tcPr>
            <w:tcW w:w="1223" w:type="dxa"/>
            <w:tcBorders>
              <w:top w:val="nil"/>
              <w:left w:val="nil"/>
              <w:bottom w:val="nil"/>
              <w:right w:val="nil"/>
            </w:tcBorders>
            <w:shd w:val="clear" w:color="auto" w:fill="auto"/>
            <w:noWrap/>
          </w:tcPr>
          <w:p w:rsidR="00D70FE4" w:rsidRPr="00361AAC" w:rsidRDefault="00D70FE4" w:rsidP="00132F6D">
            <w:pPr>
              <w:rPr>
                <w:rFonts w:cs="Arial"/>
                <w:szCs w:val="20"/>
                <w:lang w:bidi="x-none"/>
              </w:rPr>
            </w:pPr>
            <w:r w:rsidRPr="00361AAC">
              <w:rPr>
                <w:rFonts w:cs="Arial"/>
                <w:szCs w:val="20"/>
                <w:lang w:bidi="x-none"/>
              </w:rPr>
              <w:t>float</w:t>
            </w:r>
          </w:p>
        </w:tc>
      </w:tr>
    </w:tbl>
    <w:p w:rsidR="00D70FE4" w:rsidRPr="00361AAC" w:rsidRDefault="00D70FE4" w:rsidP="00D70FE4">
      <w:pPr>
        <w:pStyle w:val="Heading4"/>
        <w:rPr>
          <w:rFonts w:cs="Arial"/>
        </w:rPr>
      </w:pPr>
      <w:r w:rsidRPr="00361AAC">
        <w:rPr>
          <w:rFonts w:cs="Arial"/>
        </w:rPr>
        <w:t>Outputs</w:t>
      </w:r>
    </w:p>
    <w:p w:rsidR="00D70FE4" w:rsidRPr="00361AAC" w:rsidRDefault="00D70FE4" w:rsidP="00D70FE4">
      <w:pPr>
        <w:rPr>
          <w:rFonts w:cs="Arial"/>
        </w:rPr>
      </w:pPr>
      <w:r w:rsidRPr="00361AAC">
        <w:rPr>
          <w:rFonts w:cs="Arial"/>
        </w:rPr>
        <w:t>The output of each CCA component is an intermediate cloud mask file – a 16 bit image of the same dimensions as the L1Gs scene.  The standardized format of the cloud mask file is:</w:t>
      </w:r>
    </w:p>
    <w:p w:rsidR="00D70FE4" w:rsidRPr="00361AAC" w:rsidRDefault="00D70FE4" w:rsidP="00D70FE4">
      <w:pPr>
        <w:rPr>
          <w:rFonts w:cs="Arial"/>
        </w:rPr>
      </w:pPr>
      <w:r w:rsidRPr="00361AAC">
        <w:rPr>
          <w:rFonts w:cs="Arial"/>
        </w:rPr>
        <w:t xml:space="preserve"> </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330"/>
        <w:gridCol w:w="3330"/>
      </w:tblGrid>
      <w:tr w:rsidR="00D70FE4" w:rsidRPr="00361AAC" w:rsidTr="00132F6D">
        <w:trPr>
          <w:jc w:val="center"/>
        </w:trPr>
        <w:tc>
          <w:tcPr>
            <w:tcW w:w="900" w:type="dxa"/>
            <w:shd w:val="clear" w:color="auto" w:fill="C0C0C0"/>
            <w:vAlign w:val="center"/>
          </w:tcPr>
          <w:p w:rsidR="00D70FE4" w:rsidRPr="00361AAC" w:rsidRDefault="00D70FE4" w:rsidP="00132F6D">
            <w:pPr>
              <w:jc w:val="center"/>
              <w:rPr>
                <w:rFonts w:cs="Arial"/>
                <w:sz w:val="20"/>
                <w:szCs w:val="20"/>
              </w:rPr>
            </w:pPr>
            <w:r w:rsidRPr="00361AAC">
              <w:rPr>
                <w:rFonts w:cs="Arial"/>
                <w:sz w:val="20"/>
                <w:szCs w:val="20"/>
              </w:rPr>
              <w:t>Bit</w:t>
            </w:r>
          </w:p>
        </w:tc>
        <w:tc>
          <w:tcPr>
            <w:tcW w:w="3330" w:type="dxa"/>
            <w:shd w:val="clear" w:color="auto" w:fill="C0C0C0"/>
          </w:tcPr>
          <w:p w:rsidR="00D70FE4" w:rsidRPr="00361AAC" w:rsidRDefault="00D70FE4" w:rsidP="00132F6D">
            <w:pPr>
              <w:rPr>
                <w:rFonts w:cs="Arial"/>
                <w:sz w:val="20"/>
                <w:szCs w:val="20"/>
              </w:rPr>
            </w:pPr>
            <w:r w:rsidRPr="00361AAC">
              <w:rPr>
                <w:rFonts w:cs="Arial"/>
                <w:sz w:val="20"/>
                <w:szCs w:val="20"/>
              </w:rPr>
              <w:t>Flag description</w:t>
            </w:r>
          </w:p>
        </w:tc>
        <w:tc>
          <w:tcPr>
            <w:tcW w:w="3330" w:type="dxa"/>
            <w:shd w:val="clear" w:color="auto" w:fill="C0C0C0"/>
          </w:tcPr>
          <w:p w:rsidR="00D70FE4" w:rsidRPr="00361AAC" w:rsidRDefault="00D70FE4" w:rsidP="00132F6D">
            <w:pPr>
              <w:rPr>
                <w:rFonts w:cs="Arial"/>
                <w:sz w:val="20"/>
                <w:szCs w:val="20"/>
              </w:rPr>
            </w:pPr>
            <w:r w:rsidRPr="00361AAC">
              <w:rPr>
                <w:rFonts w:cs="Arial"/>
                <w:sz w:val="20"/>
                <w:szCs w:val="20"/>
              </w:rPr>
              <w:t>Values</w:t>
            </w:r>
          </w:p>
        </w:tc>
      </w:tr>
      <w:tr w:rsidR="00D70FE4" w:rsidRPr="00361AAC" w:rsidTr="00132F6D">
        <w:trPr>
          <w:jc w:val="center"/>
        </w:trPr>
        <w:tc>
          <w:tcPr>
            <w:tcW w:w="900" w:type="dxa"/>
            <w:vAlign w:val="center"/>
          </w:tcPr>
          <w:p w:rsidR="00D70FE4" w:rsidRPr="00361AAC" w:rsidRDefault="00D70FE4" w:rsidP="00132F6D">
            <w:pPr>
              <w:rPr>
                <w:rFonts w:cs="Arial"/>
                <w:sz w:val="20"/>
                <w:szCs w:val="20"/>
              </w:rPr>
            </w:pPr>
            <w:r w:rsidRPr="00361AAC">
              <w:rPr>
                <w:rFonts w:cs="Arial"/>
                <w:sz w:val="20"/>
                <w:szCs w:val="20"/>
              </w:rPr>
              <w:t>0</w:t>
            </w:r>
          </w:p>
        </w:tc>
        <w:tc>
          <w:tcPr>
            <w:tcW w:w="3330" w:type="dxa"/>
            <w:vAlign w:val="center"/>
          </w:tcPr>
          <w:p w:rsidR="00D70FE4" w:rsidRPr="00361AAC" w:rsidRDefault="00D70FE4" w:rsidP="00132F6D">
            <w:pPr>
              <w:rPr>
                <w:rFonts w:cs="Arial"/>
                <w:sz w:val="20"/>
                <w:szCs w:val="20"/>
              </w:rPr>
            </w:pPr>
            <w:r w:rsidRPr="00361AAC">
              <w:rPr>
                <w:rFonts w:cs="Arial"/>
                <w:sz w:val="20"/>
                <w:szCs w:val="20"/>
              </w:rPr>
              <w:t>Designated Fill</w:t>
            </w:r>
          </w:p>
        </w:tc>
        <w:tc>
          <w:tcPr>
            <w:tcW w:w="3330" w:type="dxa"/>
            <w:vAlign w:val="center"/>
          </w:tcPr>
          <w:p w:rsidR="00D70FE4" w:rsidRPr="00361AAC" w:rsidRDefault="00D70FE4" w:rsidP="00132F6D">
            <w:pPr>
              <w:rPr>
                <w:rFonts w:cs="Arial"/>
                <w:sz w:val="20"/>
                <w:szCs w:val="20"/>
              </w:rPr>
            </w:pPr>
            <w:r w:rsidRPr="00361AAC">
              <w:rPr>
                <w:rFonts w:cs="Arial"/>
                <w:sz w:val="20"/>
                <w:szCs w:val="20"/>
              </w:rPr>
              <w:t>0 for image data</w:t>
            </w:r>
          </w:p>
          <w:p w:rsidR="00D70FE4" w:rsidRPr="00361AAC" w:rsidRDefault="00D70FE4" w:rsidP="00132F6D">
            <w:pPr>
              <w:rPr>
                <w:rFonts w:cs="Arial"/>
                <w:sz w:val="20"/>
                <w:szCs w:val="20"/>
              </w:rPr>
            </w:pPr>
            <w:r w:rsidRPr="00361AAC">
              <w:rPr>
                <w:rFonts w:cs="Arial"/>
                <w:sz w:val="20"/>
                <w:szCs w:val="20"/>
              </w:rPr>
              <w:t>1 for fill data</w:t>
            </w:r>
          </w:p>
        </w:tc>
      </w:tr>
      <w:tr w:rsidR="00D70FE4" w:rsidRPr="00361AAC" w:rsidTr="00132F6D">
        <w:trPr>
          <w:jc w:val="center"/>
        </w:trPr>
        <w:tc>
          <w:tcPr>
            <w:tcW w:w="900" w:type="dxa"/>
            <w:vAlign w:val="center"/>
          </w:tcPr>
          <w:p w:rsidR="00D70FE4" w:rsidRPr="00361AAC" w:rsidRDefault="00D70FE4" w:rsidP="00132F6D">
            <w:pPr>
              <w:rPr>
                <w:rFonts w:cs="Arial"/>
                <w:sz w:val="20"/>
                <w:szCs w:val="20"/>
              </w:rPr>
            </w:pPr>
            <w:r w:rsidRPr="00361AAC">
              <w:rPr>
                <w:rFonts w:cs="Arial"/>
                <w:sz w:val="20"/>
                <w:szCs w:val="20"/>
              </w:rPr>
              <w:t>1</w:t>
            </w:r>
          </w:p>
        </w:tc>
        <w:tc>
          <w:tcPr>
            <w:tcW w:w="3330" w:type="dxa"/>
            <w:vAlign w:val="center"/>
          </w:tcPr>
          <w:p w:rsidR="00D70FE4" w:rsidRPr="00361AAC" w:rsidRDefault="00D70FE4" w:rsidP="00132F6D">
            <w:pPr>
              <w:rPr>
                <w:rFonts w:cs="Arial"/>
                <w:sz w:val="20"/>
                <w:szCs w:val="20"/>
              </w:rPr>
            </w:pPr>
            <w:r w:rsidRPr="00361AAC">
              <w:rPr>
                <w:rFonts w:cs="Arial"/>
                <w:sz w:val="20"/>
                <w:szCs w:val="20"/>
              </w:rPr>
              <w:t>Unused</w:t>
            </w:r>
          </w:p>
        </w:tc>
        <w:tc>
          <w:tcPr>
            <w:tcW w:w="3330" w:type="dxa"/>
            <w:vAlign w:val="center"/>
          </w:tcPr>
          <w:p w:rsidR="00D70FE4" w:rsidRPr="00361AAC" w:rsidRDefault="00D70FE4" w:rsidP="00132F6D">
            <w:pPr>
              <w:rPr>
                <w:rFonts w:cs="Arial"/>
                <w:sz w:val="20"/>
                <w:szCs w:val="20"/>
              </w:rPr>
            </w:pPr>
          </w:p>
        </w:tc>
      </w:tr>
      <w:tr w:rsidR="00D70FE4" w:rsidRPr="00361AAC" w:rsidTr="00132F6D">
        <w:trPr>
          <w:jc w:val="center"/>
        </w:trPr>
        <w:tc>
          <w:tcPr>
            <w:tcW w:w="900" w:type="dxa"/>
            <w:vAlign w:val="center"/>
          </w:tcPr>
          <w:p w:rsidR="00D70FE4" w:rsidRPr="00361AAC" w:rsidRDefault="00D70FE4" w:rsidP="00132F6D">
            <w:pPr>
              <w:rPr>
                <w:rFonts w:cs="Arial"/>
                <w:sz w:val="20"/>
                <w:szCs w:val="20"/>
              </w:rPr>
            </w:pPr>
            <w:r w:rsidRPr="00361AAC">
              <w:rPr>
                <w:rFonts w:cs="Arial"/>
                <w:sz w:val="20"/>
                <w:szCs w:val="20"/>
              </w:rPr>
              <w:t>2</w:t>
            </w:r>
          </w:p>
        </w:tc>
        <w:tc>
          <w:tcPr>
            <w:tcW w:w="3330" w:type="dxa"/>
            <w:vAlign w:val="center"/>
          </w:tcPr>
          <w:p w:rsidR="00D70FE4" w:rsidRPr="00361AAC" w:rsidRDefault="00D70FE4" w:rsidP="00132F6D">
            <w:pPr>
              <w:rPr>
                <w:rFonts w:cs="Arial"/>
                <w:sz w:val="20"/>
                <w:szCs w:val="20"/>
              </w:rPr>
            </w:pPr>
            <w:r w:rsidRPr="00361AAC">
              <w:rPr>
                <w:rFonts w:cs="Arial"/>
                <w:sz w:val="20"/>
                <w:szCs w:val="20"/>
              </w:rPr>
              <w:t>Unused</w:t>
            </w:r>
          </w:p>
        </w:tc>
        <w:tc>
          <w:tcPr>
            <w:tcW w:w="3330" w:type="dxa"/>
            <w:vAlign w:val="center"/>
          </w:tcPr>
          <w:p w:rsidR="00D70FE4" w:rsidRPr="00361AAC" w:rsidRDefault="00D70FE4" w:rsidP="00132F6D">
            <w:pPr>
              <w:rPr>
                <w:rFonts w:cs="Arial"/>
                <w:sz w:val="20"/>
                <w:szCs w:val="20"/>
              </w:rPr>
            </w:pPr>
          </w:p>
        </w:tc>
      </w:tr>
      <w:tr w:rsidR="00D70FE4" w:rsidRPr="00361AAC" w:rsidTr="00132F6D">
        <w:trPr>
          <w:jc w:val="center"/>
        </w:trPr>
        <w:tc>
          <w:tcPr>
            <w:tcW w:w="900" w:type="dxa"/>
            <w:vAlign w:val="center"/>
          </w:tcPr>
          <w:p w:rsidR="00D70FE4" w:rsidRPr="00361AAC" w:rsidRDefault="00D70FE4" w:rsidP="00132F6D">
            <w:pPr>
              <w:rPr>
                <w:rFonts w:cs="Arial"/>
                <w:sz w:val="20"/>
                <w:szCs w:val="20"/>
              </w:rPr>
            </w:pPr>
            <w:r w:rsidRPr="00361AAC">
              <w:rPr>
                <w:rFonts w:cs="Arial"/>
                <w:sz w:val="20"/>
                <w:szCs w:val="20"/>
              </w:rPr>
              <w:t>3</w:t>
            </w:r>
          </w:p>
        </w:tc>
        <w:tc>
          <w:tcPr>
            <w:tcW w:w="3330" w:type="dxa"/>
            <w:vAlign w:val="center"/>
          </w:tcPr>
          <w:p w:rsidR="00D70FE4" w:rsidRPr="00361AAC" w:rsidRDefault="00D70FE4" w:rsidP="00132F6D">
            <w:pPr>
              <w:rPr>
                <w:rFonts w:cs="Arial"/>
                <w:sz w:val="20"/>
                <w:szCs w:val="20"/>
              </w:rPr>
            </w:pPr>
            <w:r w:rsidRPr="00361AAC">
              <w:rPr>
                <w:rFonts w:cs="Arial"/>
                <w:sz w:val="20"/>
                <w:szCs w:val="20"/>
              </w:rPr>
              <w:t>Unused</w:t>
            </w:r>
          </w:p>
        </w:tc>
        <w:tc>
          <w:tcPr>
            <w:tcW w:w="3330" w:type="dxa"/>
            <w:vAlign w:val="center"/>
          </w:tcPr>
          <w:p w:rsidR="00D70FE4" w:rsidRPr="00361AAC" w:rsidRDefault="00D70FE4" w:rsidP="00132F6D">
            <w:pPr>
              <w:rPr>
                <w:rFonts w:cs="Arial"/>
                <w:sz w:val="20"/>
                <w:szCs w:val="20"/>
              </w:rPr>
            </w:pPr>
          </w:p>
        </w:tc>
      </w:tr>
      <w:tr w:rsidR="00D70FE4" w:rsidRPr="00361AAC" w:rsidTr="00132F6D">
        <w:trPr>
          <w:jc w:val="center"/>
        </w:trPr>
        <w:tc>
          <w:tcPr>
            <w:tcW w:w="900" w:type="dxa"/>
            <w:vAlign w:val="center"/>
          </w:tcPr>
          <w:p w:rsidR="00D70FE4" w:rsidRPr="00361AAC" w:rsidRDefault="00D70FE4" w:rsidP="00132F6D">
            <w:pPr>
              <w:rPr>
                <w:rFonts w:cs="Arial"/>
                <w:sz w:val="20"/>
                <w:szCs w:val="20"/>
              </w:rPr>
            </w:pPr>
            <w:r w:rsidRPr="00361AAC">
              <w:rPr>
                <w:rFonts w:cs="Arial"/>
                <w:sz w:val="20"/>
                <w:szCs w:val="20"/>
              </w:rPr>
              <w:t>4-5</w:t>
            </w:r>
          </w:p>
        </w:tc>
        <w:tc>
          <w:tcPr>
            <w:tcW w:w="3330" w:type="dxa"/>
            <w:vAlign w:val="center"/>
          </w:tcPr>
          <w:p w:rsidR="00D70FE4" w:rsidRPr="00361AAC" w:rsidRDefault="00D70FE4" w:rsidP="00132F6D">
            <w:pPr>
              <w:rPr>
                <w:rFonts w:cs="Arial"/>
                <w:sz w:val="20"/>
                <w:szCs w:val="20"/>
              </w:rPr>
            </w:pPr>
            <w:r w:rsidRPr="00361AAC">
              <w:rPr>
                <w:rFonts w:cs="Arial"/>
                <w:sz w:val="20"/>
                <w:szCs w:val="20"/>
              </w:rPr>
              <w:t>Water confidence</w:t>
            </w:r>
          </w:p>
        </w:tc>
        <w:tc>
          <w:tcPr>
            <w:tcW w:w="3330" w:type="dxa"/>
            <w:vAlign w:val="center"/>
          </w:tcPr>
          <w:p w:rsidR="00D70FE4" w:rsidRPr="00361AAC" w:rsidRDefault="00D70FE4" w:rsidP="00132F6D">
            <w:pPr>
              <w:rPr>
                <w:rFonts w:cs="Arial"/>
                <w:sz w:val="20"/>
                <w:szCs w:val="20"/>
              </w:rPr>
            </w:pPr>
            <w:r w:rsidRPr="00361AAC">
              <w:rPr>
                <w:rFonts w:cs="Arial"/>
                <w:sz w:val="20"/>
                <w:szCs w:val="20"/>
              </w:rPr>
              <w:t>00 = Not set</w:t>
            </w:r>
          </w:p>
          <w:p w:rsidR="00D70FE4" w:rsidRPr="00361AAC" w:rsidRDefault="00D70FE4" w:rsidP="00132F6D">
            <w:pPr>
              <w:rPr>
                <w:rFonts w:cs="Arial"/>
                <w:sz w:val="20"/>
                <w:szCs w:val="20"/>
              </w:rPr>
            </w:pPr>
            <w:r w:rsidRPr="00361AAC">
              <w:rPr>
                <w:rFonts w:cs="Arial"/>
                <w:sz w:val="20"/>
                <w:szCs w:val="20"/>
              </w:rPr>
              <w:t>01 = Low confidence</w:t>
            </w:r>
          </w:p>
          <w:p w:rsidR="00D70FE4" w:rsidRPr="00361AAC" w:rsidRDefault="00D70FE4" w:rsidP="00132F6D">
            <w:pPr>
              <w:rPr>
                <w:rFonts w:cs="Arial"/>
                <w:sz w:val="20"/>
                <w:szCs w:val="20"/>
              </w:rPr>
            </w:pPr>
            <w:r w:rsidRPr="00361AAC">
              <w:rPr>
                <w:rFonts w:cs="Arial"/>
                <w:sz w:val="20"/>
                <w:szCs w:val="20"/>
              </w:rPr>
              <w:t>10 = Mid confidence</w:t>
            </w:r>
          </w:p>
          <w:p w:rsidR="00D70FE4" w:rsidRPr="00361AAC" w:rsidRDefault="00D70FE4" w:rsidP="00132F6D">
            <w:pPr>
              <w:rPr>
                <w:rFonts w:cs="Arial"/>
                <w:sz w:val="20"/>
                <w:szCs w:val="20"/>
              </w:rPr>
            </w:pPr>
            <w:r w:rsidRPr="00361AAC">
              <w:rPr>
                <w:rFonts w:cs="Arial"/>
                <w:sz w:val="20"/>
                <w:szCs w:val="20"/>
              </w:rPr>
              <w:t>11 = High confidence</w:t>
            </w:r>
          </w:p>
        </w:tc>
      </w:tr>
      <w:tr w:rsidR="00D70FE4" w:rsidRPr="00361AAC" w:rsidTr="00132F6D">
        <w:trPr>
          <w:jc w:val="center"/>
        </w:trPr>
        <w:tc>
          <w:tcPr>
            <w:tcW w:w="900" w:type="dxa"/>
            <w:vAlign w:val="center"/>
          </w:tcPr>
          <w:p w:rsidR="00D70FE4" w:rsidRPr="00361AAC" w:rsidRDefault="00D70FE4" w:rsidP="00132F6D">
            <w:pPr>
              <w:rPr>
                <w:rFonts w:cs="Arial"/>
                <w:sz w:val="20"/>
                <w:szCs w:val="20"/>
              </w:rPr>
            </w:pPr>
            <w:r w:rsidRPr="00361AAC">
              <w:rPr>
                <w:rFonts w:cs="Arial"/>
                <w:sz w:val="20"/>
                <w:szCs w:val="20"/>
              </w:rPr>
              <w:t>6-7</w:t>
            </w:r>
          </w:p>
        </w:tc>
        <w:tc>
          <w:tcPr>
            <w:tcW w:w="3330" w:type="dxa"/>
            <w:vAlign w:val="center"/>
          </w:tcPr>
          <w:p w:rsidR="00D70FE4" w:rsidRPr="00361AAC" w:rsidRDefault="00D70FE4" w:rsidP="00132F6D">
            <w:pPr>
              <w:rPr>
                <w:rFonts w:cs="Arial"/>
                <w:sz w:val="20"/>
                <w:szCs w:val="20"/>
              </w:rPr>
            </w:pPr>
            <w:r w:rsidRPr="00361AAC">
              <w:rPr>
                <w:rFonts w:cs="Arial"/>
                <w:sz w:val="20"/>
                <w:szCs w:val="20"/>
              </w:rPr>
              <w:t>Unused</w:t>
            </w:r>
          </w:p>
        </w:tc>
        <w:tc>
          <w:tcPr>
            <w:tcW w:w="3330" w:type="dxa"/>
            <w:vAlign w:val="center"/>
          </w:tcPr>
          <w:p w:rsidR="00D70FE4" w:rsidRPr="00361AAC" w:rsidRDefault="00D70FE4" w:rsidP="00132F6D">
            <w:pPr>
              <w:rPr>
                <w:rFonts w:cs="Arial"/>
                <w:sz w:val="20"/>
                <w:szCs w:val="20"/>
              </w:rPr>
            </w:pPr>
          </w:p>
        </w:tc>
      </w:tr>
      <w:tr w:rsidR="00D70FE4" w:rsidRPr="00361AAC" w:rsidTr="00132F6D">
        <w:trPr>
          <w:jc w:val="center"/>
        </w:trPr>
        <w:tc>
          <w:tcPr>
            <w:tcW w:w="900" w:type="dxa"/>
            <w:vAlign w:val="center"/>
          </w:tcPr>
          <w:p w:rsidR="00D70FE4" w:rsidRPr="00361AAC" w:rsidRDefault="00D70FE4" w:rsidP="00132F6D">
            <w:pPr>
              <w:rPr>
                <w:rFonts w:cs="Arial"/>
                <w:sz w:val="20"/>
                <w:szCs w:val="20"/>
              </w:rPr>
            </w:pPr>
            <w:r w:rsidRPr="00361AAC">
              <w:rPr>
                <w:rFonts w:cs="Arial"/>
                <w:sz w:val="20"/>
                <w:szCs w:val="20"/>
              </w:rPr>
              <w:t>8-9</w:t>
            </w:r>
          </w:p>
        </w:tc>
        <w:tc>
          <w:tcPr>
            <w:tcW w:w="3330" w:type="dxa"/>
            <w:vAlign w:val="center"/>
          </w:tcPr>
          <w:p w:rsidR="00D70FE4" w:rsidRPr="00361AAC" w:rsidRDefault="00D70FE4" w:rsidP="00132F6D">
            <w:pPr>
              <w:rPr>
                <w:rFonts w:cs="Arial"/>
                <w:sz w:val="20"/>
                <w:szCs w:val="20"/>
              </w:rPr>
            </w:pPr>
            <w:r w:rsidRPr="00361AAC">
              <w:rPr>
                <w:rFonts w:cs="Arial"/>
                <w:sz w:val="20"/>
                <w:szCs w:val="20"/>
              </w:rPr>
              <w:t>Unused</w:t>
            </w:r>
          </w:p>
        </w:tc>
        <w:tc>
          <w:tcPr>
            <w:tcW w:w="3330" w:type="dxa"/>
            <w:vAlign w:val="center"/>
          </w:tcPr>
          <w:p w:rsidR="00D70FE4" w:rsidRPr="00361AAC" w:rsidRDefault="00D70FE4" w:rsidP="00132F6D">
            <w:pPr>
              <w:rPr>
                <w:rFonts w:cs="Arial"/>
                <w:sz w:val="20"/>
                <w:szCs w:val="20"/>
              </w:rPr>
            </w:pPr>
          </w:p>
        </w:tc>
      </w:tr>
      <w:tr w:rsidR="00D70FE4" w:rsidRPr="00361AAC" w:rsidTr="00132F6D">
        <w:trPr>
          <w:jc w:val="center"/>
        </w:trPr>
        <w:tc>
          <w:tcPr>
            <w:tcW w:w="900" w:type="dxa"/>
            <w:vAlign w:val="center"/>
          </w:tcPr>
          <w:p w:rsidR="00D70FE4" w:rsidRPr="00361AAC" w:rsidRDefault="00D70FE4" w:rsidP="00132F6D">
            <w:pPr>
              <w:rPr>
                <w:rFonts w:cs="Arial"/>
                <w:sz w:val="20"/>
                <w:szCs w:val="20"/>
              </w:rPr>
            </w:pPr>
            <w:r w:rsidRPr="00361AAC">
              <w:rPr>
                <w:rFonts w:cs="Arial"/>
                <w:sz w:val="20"/>
                <w:szCs w:val="20"/>
              </w:rPr>
              <w:t>10-11</w:t>
            </w:r>
          </w:p>
        </w:tc>
        <w:tc>
          <w:tcPr>
            <w:tcW w:w="3330" w:type="dxa"/>
            <w:vAlign w:val="center"/>
          </w:tcPr>
          <w:p w:rsidR="00D70FE4" w:rsidRPr="00361AAC" w:rsidRDefault="00D70FE4" w:rsidP="00132F6D">
            <w:pPr>
              <w:rPr>
                <w:rFonts w:cs="Arial"/>
                <w:sz w:val="20"/>
                <w:szCs w:val="20"/>
              </w:rPr>
            </w:pPr>
            <w:r w:rsidRPr="00361AAC">
              <w:rPr>
                <w:rFonts w:cs="Arial"/>
                <w:sz w:val="20"/>
                <w:szCs w:val="20"/>
              </w:rPr>
              <w:t>Snow/Ice confidence</w:t>
            </w:r>
          </w:p>
        </w:tc>
        <w:tc>
          <w:tcPr>
            <w:tcW w:w="3330" w:type="dxa"/>
            <w:vAlign w:val="center"/>
          </w:tcPr>
          <w:p w:rsidR="00D70FE4" w:rsidRPr="00361AAC" w:rsidRDefault="00D70FE4" w:rsidP="00132F6D">
            <w:pPr>
              <w:rPr>
                <w:rFonts w:cs="Arial"/>
                <w:sz w:val="20"/>
                <w:szCs w:val="20"/>
              </w:rPr>
            </w:pPr>
            <w:r w:rsidRPr="00361AAC">
              <w:rPr>
                <w:rFonts w:cs="Arial"/>
                <w:sz w:val="20"/>
                <w:szCs w:val="20"/>
              </w:rPr>
              <w:t>same as water confidence</w:t>
            </w:r>
          </w:p>
        </w:tc>
      </w:tr>
      <w:tr w:rsidR="00D70FE4" w:rsidRPr="00361AAC" w:rsidTr="00132F6D">
        <w:trPr>
          <w:jc w:val="center"/>
        </w:trPr>
        <w:tc>
          <w:tcPr>
            <w:tcW w:w="900" w:type="dxa"/>
            <w:vAlign w:val="center"/>
          </w:tcPr>
          <w:p w:rsidR="00D70FE4" w:rsidRPr="00361AAC" w:rsidRDefault="00D70FE4" w:rsidP="00132F6D">
            <w:pPr>
              <w:rPr>
                <w:rFonts w:cs="Arial"/>
                <w:sz w:val="20"/>
                <w:szCs w:val="20"/>
              </w:rPr>
            </w:pPr>
            <w:r w:rsidRPr="00361AAC">
              <w:rPr>
                <w:rFonts w:cs="Arial"/>
                <w:sz w:val="20"/>
                <w:szCs w:val="20"/>
              </w:rPr>
              <w:t>12-13</w:t>
            </w:r>
          </w:p>
        </w:tc>
        <w:tc>
          <w:tcPr>
            <w:tcW w:w="3330" w:type="dxa"/>
            <w:vAlign w:val="center"/>
          </w:tcPr>
          <w:p w:rsidR="00D70FE4" w:rsidRPr="00361AAC" w:rsidRDefault="00D70FE4" w:rsidP="00132F6D">
            <w:pPr>
              <w:rPr>
                <w:rFonts w:cs="Arial"/>
                <w:sz w:val="20"/>
                <w:szCs w:val="20"/>
              </w:rPr>
            </w:pPr>
            <w:r w:rsidRPr="00361AAC">
              <w:rPr>
                <w:rFonts w:cs="Arial"/>
                <w:sz w:val="20"/>
                <w:szCs w:val="20"/>
              </w:rPr>
              <w:t>Unused</w:t>
            </w:r>
          </w:p>
        </w:tc>
        <w:tc>
          <w:tcPr>
            <w:tcW w:w="3330" w:type="dxa"/>
            <w:vAlign w:val="center"/>
          </w:tcPr>
          <w:p w:rsidR="00D70FE4" w:rsidRPr="00361AAC" w:rsidRDefault="00D70FE4" w:rsidP="00132F6D">
            <w:pPr>
              <w:rPr>
                <w:rFonts w:cs="Arial"/>
                <w:sz w:val="20"/>
                <w:szCs w:val="20"/>
              </w:rPr>
            </w:pPr>
          </w:p>
        </w:tc>
      </w:tr>
      <w:tr w:rsidR="00D70FE4" w:rsidRPr="00361AAC" w:rsidTr="00132F6D">
        <w:trPr>
          <w:jc w:val="center"/>
        </w:trPr>
        <w:tc>
          <w:tcPr>
            <w:tcW w:w="900" w:type="dxa"/>
            <w:vAlign w:val="center"/>
          </w:tcPr>
          <w:p w:rsidR="00D70FE4" w:rsidRPr="00361AAC" w:rsidRDefault="00D70FE4" w:rsidP="00132F6D">
            <w:pPr>
              <w:rPr>
                <w:rFonts w:cs="Arial"/>
                <w:sz w:val="20"/>
                <w:szCs w:val="20"/>
              </w:rPr>
            </w:pPr>
            <w:r w:rsidRPr="00361AAC">
              <w:rPr>
                <w:rFonts w:cs="Arial"/>
                <w:sz w:val="20"/>
                <w:szCs w:val="20"/>
              </w:rPr>
              <w:t>14-15</w:t>
            </w:r>
          </w:p>
        </w:tc>
        <w:tc>
          <w:tcPr>
            <w:tcW w:w="3330" w:type="dxa"/>
            <w:vAlign w:val="center"/>
          </w:tcPr>
          <w:p w:rsidR="00D70FE4" w:rsidRPr="00361AAC" w:rsidRDefault="00D70FE4" w:rsidP="00132F6D">
            <w:pPr>
              <w:rPr>
                <w:rFonts w:cs="Arial"/>
                <w:sz w:val="20"/>
                <w:szCs w:val="20"/>
              </w:rPr>
            </w:pPr>
            <w:r w:rsidRPr="00361AAC">
              <w:rPr>
                <w:rFonts w:cs="Arial"/>
                <w:sz w:val="20"/>
                <w:szCs w:val="20"/>
              </w:rPr>
              <w:t>Cloud confidence</w:t>
            </w:r>
          </w:p>
        </w:tc>
        <w:tc>
          <w:tcPr>
            <w:tcW w:w="3330" w:type="dxa"/>
            <w:vAlign w:val="center"/>
          </w:tcPr>
          <w:p w:rsidR="00D70FE4" w:rsidRPr="00361AAC" w:rsidRDefault="00D70FE4" w:rsidP="00132F6D">
            <w:pPr>
              <w:keepNext/>
              <w:rPr>
                <w:rFonts w:cs="Arial"/>
                <w:sz w:val="20"/>
                <w:szCs w:val="20"/>
              </w:rPr>
            </w:pPr>
            <w:r w:rsidRPr="00361AAC">
              <w:rPr>
                <w:rFonts w:cs="Arial"/>
                <w:sz w:val="20"/>
                <w:szCs w:val="20"/>
              </w:rPr>
              <w:t>same as water confidence</w:t>
            </w:r>
          </w:p>
        </w:tc>
      </w:tr>
    </w:tbl>
    <w:p w:rsidR="00D70FE4" w:rsidRPr="00361AAC" w:rsidRDefault="00D70FE4" w:rsidP="00D70FE4">
      <w:pPr>
        <w:pStyle w:val="Caption"/>
        <w:rPr>
          <w:rFonts w:cs="Arial"/>
        </w:rPr>
      </w:pPr>
      <w:bookmarkStart w:id="4" w:name="_Toc476818827"/>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50</w:t>
      </w:r>
      <w:r w:rsidRPr="00361AAC">
        <w:rPr>
          <w:rFonts w:cs="Arial"/>
        </w:rPr>
        <w:fldChar w:fldCharType="end"/>
      </w:r>
      <w:r w:rsidRPr="00361AAC">
        <w:rPr>
          <w:rFonts w:cs="Arial"/>
        </w:rPr>
        <w:t>. Cloud mask file bit format, as used by ACCA</w:t>
      </w:r>
      <w:bookmarkEnd w:id="4"/>
    </w:p>
    <w:p w:rsidR="00D70FE4" w:rsidRPr="00361AAC" w:rsidRDefault="00D70FE4" w:rsidP="00D70FE4">
      <w:pPr>
        <w:rPr>
          <w:rFonts w:cs="Arial"/>
        </w:rPr>
      </w:pPr>
    </w:p>
    <w:p w:rsidR="00D70FE4" w:rsidRPr="00361AAC" w:rsidRDefault="00D70FE4" w:rsidP="00D70FE4">
      <w:pPr>
        <w:rPr>
          <w:rFonts w:cs="Arial"/>
        </w:rPr>
      </w:pPr>
      <w:r w:rsidRPr="00361AAC">
        <w:rPr>
          <w:rFonts w:cs="Arial"/>
        </w:rPr>
        <w:t xml:space="preserve">A byte value </w:t>
      </w:r>
      <w:proofErr w:type="gramStart"/>
      <w:r w:rsidRPr="00361AAC">
        <w:rPr>
          <w:rFonts w:cs="Arial"/>
        </w:rPr>
        <w:t>of  1</w:t>
      </w:r>
      <w:proofErr w:type="gramEnd"/>
      <w:r w:rsidRPr="00361AAC">
        <w:rPr>
          <w:rFonts w:cs="Arial"/>
        </w:rPr>
        <w:t xml:space="preserve"> (00 01 hex) is reserved for fill data.  It should not be possible to reach this value when processing a non-fill pixel.</w:t>
      </w:r>
    </w:p>
    <w:p w:rsidR="00D70FE4" w:rsidRPr="00361AAC" w:rsidRDefault="00D70FE4" w:rsidP="00D70FE4">
      <w:pPr>
        <w:pStyle w:val="Heading4"/>
        <w:rPr>
          <w:rFonts w:cs="Arial"/>
        </w:rPr>
      </w:pPr>
      <w:r w:rsidRPr="00361AAC">
        <w:rPr>
          <w:rFonts w:cs="Arial"/>
        </w:rPr>
        <w:lastRenderedPageBreak/>
        <w:t>Procedure</w:t>
      </w:r>
    </w:p>
    <w:p w:rsidR="00D70FE4" w:rsidRPr="00361AAC" w:rsidRDefault="00D70FE4" w:rsidP="00D70FE4">
      <w:pPr>
        <w:rPr>
          <w:rFonts w:cs="Arial"/>
        </w:rPr>
      </w:pPr>
      <w:r w:rsidRPr="00361AAC">
        <w:rPr>
          <w:rFonts w:cs="Arial"/>
        </w:rPr>
        <w:t>The main loop of the CCA process opens the band files and output files, and reads information from the metadata.  It then – for each non-fill pixel – passes the band reflectance values to the evaluation function for each CCA algorithm.  The return value from the algorithm is written to the intermediate CCA mask file.  The detailed procedure for the CCA main loop can be found in the CCA Control System ADD.</w:t>
      </w:r>
    </w:p>
    <w:p w:rsidR="00D70FE4" w:rsidRPr="00361AAC" w:rsidRDefault="00D70FE4" w:rsidP="00D70FE4">
      <w:pPr>
        <w:rPr>
          <w:rFonts w:cs="Arial"/>
        </w:rPr>
      </w:pPr>
    </w:p>
    <w:p w:rsidR="00D70FE4" w:rsidRPr="00361AAC" w:rsidRDefault="00D70FE4" w:rsidP="00D70FE4">
      <w:pPr>
        <w:rPr>
          <w:rFonts w:cs="Arial"/>
        </w:rPr>
      </w:pPr>
      <w:r w:rsidRPr="00361AAC">
        <w:rPr>
          <w:rFonts w:cs="Arial"/>
        </w:rPr>
        <w:t>The ACCA algorithm follows the structure of phase 1 of the Landsat 7 ACCA algorithm.  In addition to clouds, this algorithm may classify a pixel as Water or Snow; flags for those classes are reserved in the intermediate cloud mask file structure.  The ACCA algorithm is also capable of Vegetation classification, but because the accuracy is poor it is not planned to use this algorithm for that purpose.</w:t>
      </w:r>
    </w:p>
    <w:p w:rsidR="00D70FE4" w:rsidRPr="00361AAC" w:rsidRDefault="00D70FE4" w:rsidP="00D70FE4">
      <w:pPr>
        <w:rPr>
          <w:rFonts w:cs="Arial"/>
        </w:rPr>
      </w:pPr>
    </w:p>
    <w:p w:rsidR="00D70FE4" w:rsidRPr="00361AAC" w:rsidRDefault="00D70FE4" w:rsidP="00D70FE4">
      <w:pPr>
        <w:rPr>
          <w:rFonts w:cs="Arial"/>
        </w:rPr>
      </w:pPr>
      <w:r w:rsidRPr="00361AAC">
        <w:rPr>
          <w:rFonts w:cs="Arial"/>
        </w:rPr>
        <w:t>The ACCA algorithm makes use of the following band-derived values:</w:t>
      </w:r>
    </w:p>
    <w:p w:rsidR="00D70FE4" w:rsidRPr="00361AAC" w:rsidRDefault="00D70FE4" w:rsidP="00D70FE4">
      <w:pPr>
        <w:rPr>
          <w:rFonts w:cs="Arial"/>
        </w:rPr>
      </w:pPr>
    </w:p>
    <w:p w:rsidR="00D70FE4" w:rsidRPr="00361AAC" w:rsidRDefault="00D70FE4" w:rsidP="00D70FE4">
      <w:pPr>
        <w:pStyle w:val="Wheres"/>
        <w:tabs>
          <w:tab w:val="clear" w:pos="1980"/>
          <w:tab w:val="clear" w:pos="2880"/>
          <w:tab w:val="clear" w:pos="3240"/>
          <w:tab w:val="left" w:pos="1080"/>
          <w:tab w:val="left" w:pos="2160"/>
          <w:tab w:val="left" w:pos="2520"/>
        </w:tabs>
        <w:ind w:left="2520"/>
        <w:rPr>
          <w:rFonts w:ascii="Arial" w:hAnsi="Arial" w:cs="Arial"/>
        </w:rPr>
      </w:pPr>
      <w:r w:rsidRPr="00361AAC">
        <w:rPr>
          <w:rFonts w:ascii="Arial" w:hAnsi="Arial" w:cs="Arial"/>
        </w:rPr>
        <w:tab/>
      </w:r>
      <w:proofErr w:type="spellStart"/>
      <w:r w:rsidRPr="00361AAC">
        <w:rPr>
          <w:rFonts w:ascii="Arial" w:hAnsi="Arial" w:cs="Arial"/>
        </w:rPr>
        <w:t>Bx</w:t>
      </w:r>
      <w:proofErr w:type="spellEnd"/>
      <w:r w:rsidRPr="00361AAC">
        <w:rPr>
          <w:rFonts w:ascii="Arial" w:hAnsi="Arial" w:cs="Arial"/>
        </w:rPr>
        <w:tab/>
        <w:t>=</w:t>
      </w:r>
      <w:r w:rsidRPr="00361AAC">
        <w:rPr>
          <w:rFonts w:ascii="Arial" w:hAnsi="Arial" w:cs="Arial"/>
        </w:rPr>
        <w:tab/>
      </w:r>
      <w:proofErr w:type="gramStart"/>
      <w:r w:rsidRPr="00361AAC">
        <w:rPr>
          <w:rFonts w:ascii="Arial" w:hAnsi="Arial" w:cs="Arial"/>
        </w:rPr>
        <w:t>The</w:t>
      </w:r>
      <w:proofErr w:type="gramEnd"/>
      <w:r w:rsidRPr="00361AAC">
        <w:rPr>
          <w:rFonts w:ascii="Arial" w:hAnsi="Arial" w:cs="Arial"/>
        </w:rPr>
        <w:t xml:space="preserve"> reflectance in </w:t>
      </w:r>
      <w:r>
        <w:rPr>
          <w:rFonts w:ascii="Arial" w:hAnsi="Arial" w:cs="Arial"/>
        </w:rPr>
        <w:t>OLI</w:t>
      </w:r>
      <w:r w:rsidRPr="00361AAC">
        <w:rPr>
          <w:rFonts w:ascii="Arial" w:hAnsi="Arial" w:cs="Arial"/>
        </w:rPr>
        <w:t xml:space="preserve"> band x.</w:t>
      </w:r>
    </w:p>
    <w:p w:rsidR="00D70FE4" w:rsidRPr="00361AAC" w:rsidRDefault="00D70FE4" w:rsidP="00D70FE4">
      <w:pPr>
        <w:pStyle w:val="Wheres"/>
        <w:tabs>
          <w:tab w:val="clear" w:pos="1980"/>
          <w:tab w:val="clear" w:pos="2880"/>
          <w:tab w:val="clear" w:pos="3240"/>
          <w:tab w:val="left" w:pos="1080"/>
          <w:tab w:val="left" w:pos="2160"/>
          <w:tab w:val="left" w:pos="2520"/>
        </w:tabs>
        <w:ind w:left="2520"/>
        <w:rPr>
          <w:rFonts w:ascii="Arial" w:hAnsi="Arial" w:cs="Arial"/>
        </w:rPr>
      </w:pPr>
      <w:r w:rsidRPr="00361AAC">
        <w:rPr>
          <w:rFonts w:ascii="Arial" w:hAnsi="Arial" w:cs="Arial"/>
        </w:rPr>
        <w:tab/>
        <w:t>T</w:t>
      </w:r>
      <w:r w:rsidRPr="00361AAC">
        <w:rPr>
          <w:rFonts w:ascii="Arial" w:hAnsi="Arial" w:cs="Arial"/>
        </w:rPr>
        <w:tab/>
        <w:t>=</w:t>
      </w:r>
      <w:r w:rsidRPr="00361AAC">
        <w:rPr>
          <w:rFonts w:ascii="Arial" w:hAnsi="Arial" w:cs="Arial"/>
        </w:rPr>
        <w:tab/>
      </w:r>
      <w:proofErr w:type="gramStart"/>
      <w:r w:rsidRPr="00361AAC">
        <w:rPr>
          <w:rFonts w:ascii="Arial" w:hAnsi="Arial" w:cs="Arial"/>
        </w:rPr>
        <w:t>The</w:t>
      </w:r>
      <w:proofErr w:type="gramEnd"/>
      <w:r w:rsidRPr="00361AAC">
        <w:rPr>
          <w:rFonts w:ascii="Arial" w:hAnsi="Arial" w:cs="Arial"/>
        </w:rPr>
        <w:t xml:space="preserve"> radiance of the thermal band.</w:t>
      </w:r>
    </w:p>
    <w:p w:rsidR="00D70FE4" w:rsidRPr="00361AAC" w:rsidRDefault="00D70FE4" w:rsidP="00D70FE4">
      <w:pPr>
        <w:pStyle w:val="Wheres"/>
        <w:tabs>
          <w:tab w:val="clear" w:pos="1980"/>
          <w:tab w:val="clear" w:pos="2880"/>
          <w:tab w:val="clear" w:pos="3240"/>
          <w:tab w:val="left" w:pos="1080"/>
          <w:tab w:val="left" w:pos="2160"/>
          <w:tab w:val="left" w:pos="2520"/>
        </w:tabs>
        <w:ind w:left="2520"/>
        <w:rPr>
          <w:rFonts w:ascii="Arial" w:hAnsi="Arial" w:cs="Arial"/>
        </w:rPr>
      </w:pPr>
      <w:r w:rsidRPr="00361AAC">
        <w:rPr>
          <w:rFonts w:ascii="Arial" w:hAnsi="Arial" w:cs="Arial"/>
        </w:rPr>
        <w:tab/>
        <w:t>ND(</w:t>
      </w:r>
      <w:proofErr w:type="spellStart"/>
      <w:r w:rsidRPr="00361AAC">
        <w:rPr>
          <w:rFonts w:ascii="Arial" w:hAnsi="Arial" w:cs="Arial"/>
        </w:rPr>
        <w:t>x</w:t>
      </w:r>
      <w:proofErr w:type="gramStart"/>
      <w:r w:rsidRPr="00361AAC">
        <w:rPr>
          <w:rFonts w:ascii="Arial" w:hAnsi="Arial" w:cs="Arial"/>
        </w:rPr>
        <w:t>,y</w:t>
      </w:r>
      <w:proofErr w:type="spellEnd"/>
      <w:proofErr w:type="gramEnd"/>
      <w:r w:rsidRPr="00361AAC">
        <w:rPr>
          <w:rFonts w:ascii="Arial" w:hAnsi="Arial" w:cs="Arial"/>
        </w:rPr>
        <w:t>)</w:t>
      </w:r>
      <w:r w:rsidRPr="00361AAC">
        <w:rPr>
          <w:rFonts w:ascii="Arial" w:hAnsi="Arial" w:cs="Arial"/>
        </w:rPr>
        <w:tab/>
        <w:t>=</w:t>
      </w:r>
      <w:r w:rsidRPr="00361AAC">
        <w:rPr>
          <w:rFonts w:ascii="Arial" w:hAnsi="Arial" w:cs="Arial"/>
        </w:rPr>
        <w:tab/>
        <w:t>The normalized difference between x and y.</w:t>
      </w:r>
    </w:p>
    <w:p w:rsidR="00D70FE4" w:rsidRPr="00361AAC" w:rsidRDefault="00D70FE4" w:rsidP="00D70FE4">
      <w:pPr>
        <w:pStyle w:val="Wheres"/>
        <w:tabs>
          <w:tab w:val="clear" w:pos="1980"/>
          <w:tab w:val="clear" w:pos="2880"/>
          <w:tab w:val="clear" w:pos="3240"/>
          <w:tab w:val="left" w:pos="1080"/>
          <w:tab w:val="left" w:pos="2160"/>
          <w:tab w:val="left" w:pos="2520"/>
        </w:tabs>
        <w:ind w:left="2520"/>
        <w:rPr>
          <w:rFonts w:ascii="Arial" w:hAnsi="Arial" w:cs="Arial"/>
        </w:rPr>
      </w:pPr>
      <w:r w:rsidRPr="00361AAC">
        <w:rPr>
          <w:rFonts w:ascii="Arial" w:hAnsi="Arial" w:cs="Arial"/>
        </w:rPr>
        <w:tab/>
      </w:r>
      <w:r w:rsidRPr="00361AAC">
        <w:rPr>
          <w:rFonts w:ascii="Arial" w:hAnsi="Arial" w:cs="Arial"/>
        </w:rPr>
        <w:tab/>
        <w:t>=</w:t>
      </w:r>
      <w:r w:rsidRPr="00361AAC">
        <w:rPr>
          <w:rFonts w:ascii="Arial" w:hAnsi="Arial" w:cs="Arial"/>
        </w:rPr>
        <w:tab/>
        <w:t>(x – y)/(x + y)</w:t>
      </w:r>
    </w:p>
    <w:p w:rsidR="00D70FE4" w:rsidRPr="00361AAC" w:rsidRDefault="00D70FE4" w:rsidP="00D70FE4">
      <w:pPr>
        <w:rPr>
          <w:rFonts w:cs="Arial"/>
        </w:rPr>
      </w:pPr>
    </w:p>
    <w:p w:rsidR="00D70FE4" w:rsidRPr="00361AAC" w:rsidRDefault="00D70FE4" w:rsidP="00D70FE4">
      <w:pPr>
        <w:rPr>
          <w:rFonts w:cs="Arial"/>
        </w:rPr>
      </w:pPr>
      <w:r w:rsidRPr="00361AAC">
        <w:rPr>
          <w:rFonts w:cs="Arial"/>
        </w:rPr>
        <w:t>The procedure for the ACCA evaluation function is:</w:t>
      </w:r>
    </w:p>
    <w:p w:rsidR="00D70FE4" w:rsidRPr="00361AAC" w:rsidRDefault="00D70FE4" w:rsidP="00D70FE4">
      <w:pPr>
        <w:rPr>
          <w:rFonts w:cs="Arial"/>
        </w:rPr>
      </w:pPr>
    </w:p>
    <w:p w:rsidR="00D70FE4" w:rsidRPr="00361AAC" w:rsidRDefault="00D70FE4" w:rsidP="00D70FE4">
      <w:pPr>
        <w:numPr>
          <w:ilvl w:val="0"/>
          <w:numId w:val="2"/>
        </w:numPr>
        <w:rPr>
          <w:rFonts w:cs="Arial"/>
        </w:rPr>
      </w:pPr>
      <w:r w:rsidRPr="00361AAC">
        <w:rPr>
          <w:rFonts w:cs="Arial"/>
        </w:rPr>
        <w:t>Phase 1:  Perform the ACCA cloud detection algorithm.</w:t>
      </w:r>
    </w:p>
    <w:p w:rsidR="00D70FE4" w:rsidRPr="00361AAC" w:rsidRDefault="00D70FE4" w:rsidP="00D70FE4">
      <w:pPr>
        <w:numPr>
          <w:ilvl w:val="1"/>
          <w:numId w:val="2"/>
        </w:numPr>
        <w:rPr>
          <w:rFonts w:cs="Arial"/>
        </w:rPr>
      </w:pPr>
      <w:r w:rsidRPr="00361AAC">
        <w:rPr>
          <w:rFonts w:cs="Arial"/>
        </w:rPr>
        <w:t>B4 test #1:  If B4 &gt; 0.08, go to step 1.a.i.</w:t>
      </w:r>
    </w:p>
    <w:p w:rsidR="00D70FE4" w:rsidRPr="00361AAC" w:rsidRDefault="00D70FE4" w:rsidP="00D70FE4">
      <w:pPr>
        <w:numPr>
          <w:ilvl w:val="2"/>
          <w:numId w:val="2"/>
        </w:numPr>
        <w:rPr>
          <w:rFonts w:cs="Arial"/>
        </w:rPr>
      </w:pPr>
      <w:r w:rsidRPr="00361AAC">
        <w:rPr>
          <w:rFonts w:cs="Arial"/>
        </w:rPr>
        <w:t xml:space="preserve">NDSI test #1:  If </w:t>
      </w:r>
      <w:proofErr w:type="gramStart"/>
      <w:r w:rsidRPr="00361AAC">
        <w:rPr>
          <w:rFonts w:cs="Arial"/>
        </w:rPr>
        <w:t>ND(</w:t>
      </w:r>
      <w:proofErr w:type="gramEnd"/>
      <w:r w:rsidRPr="00361AAC">
        <w:rPr>
          <w:rFonts w:cs="Arial"/>
        </w:rPr>
        <w:t>B3,B6) &gt; -0.25 and &lt; 0.7, go to step 1.a.i.1.  (</w:t>
      </w:r>
      <w:proofErr w:type="gramStart"/>
      <w:r w:rsidRPr="00361AAC">
        <w:rPr>
          <w:rFonts w:cs="Arial"/>
        </w:rPr>
        <w:t>ND(</w:t>
      </w:r>
      <w:proofErr w:type="gramEnd"/>
      <w:r w:rsidRPr="00361AAC">
        <w:rPr>
          <w:rFonts w:cs="Arial"/>
        </w:rPr>
        <w:t>B3,B6) is known as NDSI, the Normalized Differential Snow Index.)</w:t>
      </w:r>
    </w:p>
    <w:p w:rsidR="00D70FE4" w:rsidRPr="00361AAC" w:rsidRDefault="00D70FE4" w:rsidP="00D70FE4">
      <w:pPr>
        <w:numPr>
          <w:ilvl w:val="3"/>
          <w:numId w:val="2"/>
        </w:numPr>
        <w:rPr>
          <w:rFonts w:cs="Arial"/>
        </w:rPr>
      </w:pPr>
      <w:r w:rsidRPr="00361AAC">
        <w:rPr>
          <w:rFonts w:cs="Arial"/>
        </w:rPr>
        <w:t>Thermal test:  If T &lt; 9.390745, go to step 1.a.i.1.a.</w:t>
      </w:r>
    </w:p>
    <w:p w:rsidR="00D70FE4" w:rsidRPr="00361AAC" w:rsidRDefault="00D70FE4" w:rsidP="00D70FE4">
      <w:pPr>
        <w:numPr>
          <w:ilvl w:val="4"/>
          <w:numId w:val="2"/>
        </w:numPr>
        <w:tabs>
          <w:tab w:val="left" w:pos="3960"/>
        </w:tabs>
        <w:rPr>
          <w:rFonts w:cs="Arial"/>
        </w:rPr>
      </w:pPr>
      <w:r w:rsidRPr="00361AAC">
        <w:rPr>
          <w:rFonts w:cs="Arial"/>
        </w:rPr>
        <w:t xml:space="preserve">B6composite test:  </w:t>
      </w:r>
      <w:r w:rsidRPr="00361AAC">
        <w:rPr>
          <w:rFonts w:cs="Arial"/>
        </w:rPr>
        <w:tab/>
      </w:r>
      <w:r w:rsidRPr="00361AAC">
        <w:rPr>
          <w:rFonts w:cs="Arial"/>
        </w:rPr>
        <w:tab/>
      </w:r>
      <w:r w:rsidRPr="00361AAC">
        <w:rPr>
          <w:rFonts w:cs="Arial"/>
        </w:rPr>
        <w:tab/>
      </w:r>
      <w:r w:rsidRPr="00361AAC">
        <w:rPr>
          <w:rFonts w:cs="Arial"/>
        </w:rPr>
        <w:tab/>
      </w:r>
      <w:r w:rsidRPr="00361AAC">
        <w:rPr>
          <w:rFonts w:cs="Arial"/>
        </w:rPr>
        <w:tab/>
        <w:t>If (T &lt; 666.09</w:t>
      </w:r>
      <w:proofErr w:type="gramStart"/>
      <w:r w:rsidRPr="00361AAC">
        <w:rPr>
          <w:rFonts w:cs="Arial"/>
        </w:rPr>
        <w:t>/(</w:t>
      </w:r>
      <w:proofErr w:type="spellStart"/>
      <w:proofErr w:type="gramEnd"/>
      <w:r w:rsidRPr="00361AAC">
        <w:rPr>
          <w:rFonts w:cs="Arial"/>
        </w:rPr>
        <w:t>exp</w:t>
      </w:r>
      <w:proofErr w:type="spellEnd"/>
      <w:r w:rsidRPr="00361AAC">
        <w:rPr>
          <w:rFonts w:cs="Arial"/>
        </w:rPr>
        <w:t>(5.70093*(1-B5) - 1)), go to step 1.a.i.1.a.i.</w:t>
      </w:r>
    </w:p>
    <w:p w:rsidR="00D70FE4" w:rsidRPr="00361AAC" w:rsidRDefault="00D70FE4" w:rsidP="00D70FE4">
      <w:pPr>
        <w:numPr>
          <w:ilvl w:val="5"/>
          <w:numId w:val="2"/>
        </w:numPr>
        <w:rPr>
          <w:rFonts w:cs="Arial"/>
        </w:rPr>
      </w:pPr>
      <w:r w:rsidRPr="00361AAC">
        <w:rPr>
          <w:rFonts w:cs="Arial"/>
        </w:rPr>
        <w:t>B54 ratio test:  If B5/B4 &lt; 2.25, go to step 1.a.i.1.a.i.1.</w:t>
      </w:r>
    </w:p>
    <w:p w:rsidR="00D70FE4" w:rsidRPr="00361AAC" w:rsidRDefault="00D70FE4" w:rsidP="00D70FE4">
      <w:pPr>
        <w:numPr>
          <w:ilvl w:val="6"/>
          <w:numId w:val="2"/>
        </w:numPr>
        <w:rPr>
          <w:rFonts w:cs="Arial"/>
        </w:rPr>
      </w:pPr>
      <w:r w:rsidRPr="00361AAC">
        <w:rPr>
          <w:rFonts w:cs="Arial"/>
        </w:rPr>
        <w:t>B53 ratio test:  If B5/B3 &lt; 2.2, go to step 1.a.i.1.a.i.1.a.</w:t>
      </w:r>
    </w:p>
    <w:p w:rsidR="00D70FE4" w:rsidRPr="00361AAC" w:rsidRDefault="00D70FE4" w:rsidP="00D70FE4">
      <w:pPr>
        <w:numPr>
          <w:ilvl w:val="7"/>
          <w:numId w:val="2"/>
        </w:numPr>
        <w:rPr>
          <w:rFonts w:cs="Arial"/>
        </w:rPr>
      </w:pPr>
      <w:r w:rsidRPr="00361AAC">
        <w:rPr>
          <w:rFonts w:cs="Arial"/>
        </w:rPr>
        <w:t>B56 ratio test:  If B5/B6 &gt; 1, then this pixel is a cloud.  Set the output value to high confidence cloud.  (CCA_INT_CLOUD_HIGH)</w:t>
      </w:r>
    </w:p>
    <w:p w:rsidR="00D70FE4" w:rsidRPr="00361AAC" w:rsidRDefault="00D70FE4" w:rsidP="00D70FE4">
      <w:pPr>
        <w:numPr>
          <w:ilvl w:val="5"/>
          <w:numId w:val="2"/>
        </w:numPr>
        <w:rPr>
          <w:rFonts w:cs="Arial"/>
        </w:rPr>
      </w:pPr>
      <w:r w:rsidRPr="00361AAC">
        <w:rPr>
          <w:rFonts w:cs="Arial"/>
        </w:rPr>
        <w:t>If any of the B56, B53, or B54 ratio tests fail, the pixel is designated as ambiguous. (CCA_INT_CLOUD_MID)</w:t>
      </w:r>
    </w:p>
    <w:p w:rsidR="00D70FE4" w:rsidRPr="00361AAC" w:rsidRDefault="00D70FE4" w:rsidP="00D70FE4">
      <w:pPr>
        <w:numPr>
          <w:ilvl w:val="4"/>
          <w:numId w:val="2"/>
        </w:numPr>
        <w:rPr>
          <w:rFonts w:cs="Arial"/>
        </w:rPr>
      </w:pPr>
      <w:r w:rsidRPr="00361AAC">
        <w:rPr>
          <w:rFonts w:cs="Arial"/>
        </w:rPr>
        <w:t xml:space="preserve">If the B6composite test fails, perform the B6 test:  If B6 &lt; 0.08, then this pixel is clear.  Set the output value to clear of unknown class.  (Low value for cloud </w:t>
      </w:r>
      <w:r w:rsidRPr="00361AAC">
        <w:rPr>
          <w:rFonts w:cs="Arial"/>
        </w:rPr>
        <w:lastRenderedPageBreak/>
        <w:t>confidence and low value for class confidence.  This is set by the value CCA_INT_UNKNOWN_LOW + CCA_INT_CLOUD_LOW.)</w:t>
      </w:r>
    </w:p>
    <w:p w:rsidR="00D70FE4" w:rsidRPr="00361AAC" w:rsidRDefault="00D70FE4" w:rsidP="00D70FE4">
      <w:pPr>
        <w:numPr>
          <w:ilvl w:val="4"/>
          <w:numId w:val="2"/>
        </w:numPr>
        <w:rPr>
          <w:rFonts w:cs="Arial"/>
        </w:rPr>
      </w:pPr>
      <w:r w:rsidRPr="00361AAC">
        <w:rPr>
          <w:rFonts w:cs="Arial"/>
        </w:rPr>
        <w:t>If the B6 test fails, designate the output value as ambiguous.  (CCA_INT_CLOUD_MID)</w:t>
      </w:r>
    </w:p>
    <w:p w:rsidR="00D70FE4" w:rsidRPr="00361AAC" w:rsidRDefault="00D70FE4" w:rsidP="00D70FE4">
      <w:pPr>
        <w:numPr>
          <w:ilvl w:val="3"/>
          <w:numId w:val="2"/>
        </w:numPr>
        <w:rPr>
          <w:rFonts w:cs="Arial"/>
        </w:rPr>
      </w:pPr>
      <w:r w:rsidRPr="00361AAC">
        <w:rPr>
          <w:rFonts w:cs="Arial"/>
        </w:rPr>
        <w:t>If the thermal test fails, this pixel is clear.  Set the output value to clear.  (CCA_INT_UNKNOWN_LOW + CCA_INT_CLOUD_LOW)</w:t>
      </w:r>
    </w:p>
    <w:p w:rsidR="00D70FE4" w:rsidRPr="00361AAC" w:rsidRDefault="00D70FE4" w:rsidP="00D70FE4">
      <w:pPr>
        <w:numPr>
          <w:ilvl w:val="2"/>
          <w:numId w:val="2"/>
        </w:numPr>
        <w:rPr>
          <w:rFonts w:cs="Arial"/>
        </w:rPr>
      </w:pPr>
      <w:r w:rsidRPr="00361AAC">
        <w:rPr>
          <w:rFonts w:cs="Arial"/>
        </w:rPr>
        <w:t xml:space="preserve">If the NDSI test #1 fails, perform NDSI test #2:  If </w:t>
      </w:r>
      <w:proofErr w:type="gramStart"/>
      <w:r w:rsidRPr="00361AAC">
        <w:rPr>
          <w:rFonts w:cs="Arial"/>
        </w:rPr>
        <w:t>ND(</w:t>
      </w:r>
      <w:proofErr w:type="gramEnd"/>
      <w:r w:rsidRPr="00361AAC">
        <w:rPr>
          <w:rFonts w:cs="Arial"/>
        </w:rPr>
        <w:t>B3,B6) &gt; 0.8, then the pixel is snow or ice.  Set the output value to high confidence snow.  (CCA_INT_SNOW_HI  + CCA_INT_CLOUD_LOW)</w:t>
      </w:r>
    </w:p>
    <w:p w:rsidR="00D70FE4" w:rsidRPr="00361AAC" w:rsidRDefault="00D70FE4" w:rsidP="00D70FE4">
      <w:pPr>
        <w:numPr>
          <w:ilvl w:val="2"/>
          <w:numId w:val="2"/>
        </w:numPr>
        <w:rPr>
          <w:rFonts w:cs="Arial"/>
        </w:rPr>
      </w:pPr>
      <w:r w:rsidRPr="00361AAC">
        <w:rPr>
          <w:rFonts w:cs="Arial"/>
        </w:rPr>
        <w:t>If NDSI test #2 fails, the pixel is not snow but is not a cloud.  Set the output value to clear.  (CCA_INT_UNKNOWN_LOW + CCA_INT_CLOUD_LOW)</w:t>
      </w:r>
    </w:p>
    <w:p w:rsidR="00D70FE4" w:rsidRPr="00361AAC" w:rsidRDefault="00D70FE4" w:rsidP="00D70FE4">
      <w:pPr>
        <w:numPr>
          <w:ilvl w:val="1"/>
          <w:numId w:val="2"/>
        </w:numPr>
        <w:rPr>
          <w:rFonts w:cs="Arial"/>
        </w:rPr>
      </w:pPr>
      <w:r w:rsidRPr="00361AAC">
        <w:rPr>
          <w:rFonts w:cs="Arial"/>
        </w:rPr>
        <w:t>If B4 test #1 fails, perform B4 test #2:  If B4 &lt; 0.07, then the pixel is water.  Set the output value to mid confidence water.  (CCA_INT_WATER_MID + CCA_INT_CLOUD_LOW)  The confidence is set to mid instead of high because the ACCA algorithm does not do a good job at water discrimination, so this test is not very effective.</w:t>
      </w:r>
    </w:p>
    <w:p w:rsidR="00D70FE4" w:rsidRPr="00361AAC" w:rsidRDefault="00D70FE4" w:rsidP="00D70FE4">
      <w:pPr>
        <w:numPr>
          <w:ilvl w:val="1"/>
          <w:numId w:val="2"/>
        </w:numPr>
        <w:rPr>
          <w:rFonts w:cs="Arial"/>
        </w:rPr>
      </w:pPr>
      <w:r w:rsidRPr="00361AAC">
        <w:rPr>
          <w:rFonts w:cs="Arial"/>
        </w:rPr>
        <w:t>If B4 test #2 fails, the pixel is not water but is not a cloud.  Designate the output value as ambiguous.  (CCA_INT_CLOUD_MID)</w:t>
      </w:r>
    </w:p>
    <w:p w:rsidR="00D70FE4" w:rsidRPr="00361AAC" w:rsidRDefault="00D70FE4" w:rsidP="00D70FE4">
      <w:pPr>
        <w:numPr>
          <w:ilvl w:val="0"/>
          <w:numId w:val="2"/>
        </w:numPr>
        <w:rPr>
          <w:rFonts w:cs="Arial"/>
        </w:rPr>
      </w:pPr>
      <w:r w:rsidRPr="00361AAC">
        <w:rPr>
          <w:rFonts w:cs="Arial"/>
        </w:rPr>
        <w:t>Return the output value.</w:t>
      </w:r>
    </w:p>
    <w:p w:rsidR="00D70FE4" w:rsidRPr="00361AAC" w:rsidRDefault="00D70FE4" w:rsidP="00D70FE4">
      <w:pPr>
        <w:pStyle w:val="Heading4"/>
        <w:rPr>
          <w:rFonts w:cs="Arial"/>
        </w:rPr>
      </w:pPr>
      <w:r w:rsidRPr="00361AAC">
        <w:rPr>
          <w:rFonts w:cs="Arial"/>
        </w:rPr>
        <w:t>Maturity</w:t>
      </w:r>
    </w:p>
    <w:p w:rsidR="00D70FE4" w:rsidRPr="00361AAC" w:rsidRDefault="00D70FE4" w:rsidP="00D70FE4">
      <w:pPr>
        <w:rPr>
          <w:rFonts w:cs="Arial"/>
        </w:rPr>
      </w:pPr>
      <w:r w:rsidRPr="00361AAC">
        <w:rPr>
          <w:rFonts w:cs="Arial"/>
        </w:rPr>
        <w:t xml:space="preserve">Level 1.  Changes will be made to this procedure when the characteristics of the </w:t>
      </w:r>
      <w:r>
        <w:rPr>
          <w:rFonts w:cs="Arial"/>
        </w:rPr>
        <w:t>OLI</w:t>
      </w:r>
      <w:r w:rsidRPr="00361AAC">
        <w:rPr>
          <w:rFonts w:cs="Arial"/>
        </w:rPr>
        <w:t xml:space="preserve"> and </w:t>
      </w:r>
      <w:r>
        <w:rPr>
          <w:rFonts w:cs="Arial"/>
        </w:rPr>
        <w:t>TIRS</w:t>
      </w:r>
      <w:r w:rsidRPr="00361AAC">
        <w:rPr>
          <w:rFonts w:cs="Arial"/>
        </w:rPr>
        <w:t xml:space="preserve"> instruments are known.  </w:t>
      </w:r>
    </w:p>
    <w:p w:rsidR="00D70FE4" w:rsidRPr="00361AAC" w:rsidRDefault="00D70FE4" w:rsidP="00D70FE4">
      <w:pPr>
        <w:rPr>
          <w:rFonts w:cs="Arial"/>
        </w:rPr>
      </w:pPr>
    </w:p>
    <w:p w:rsidR="00D70FE4" w:rsidRPr="00361AAC" w:rsidRDefault="00D70FE4" w:rsidP="00D70FE4">
      <w:pPr>
        <w:rPr>
          <w:rFonts w:cs="Arial"/>
        </w:rPr>
      </w:pPr>
      <w:r w:rsidRPr="00361AAC">
        <w:rPr>
          <w:rFonts w:cs="Arial"/>
        </w:rPr>
        <w:t>Other possible changes that may occur in the ACCA algorithm are as follows:</w:t>
      </w:r>
    </w:p>
    <w:p w:rsidR="00D70FE4" w:rsidRPr="00361AAC" w:rsidRDefault="00D70FE4" w:rsidP="00D70FE4">
      <w:pPr>
        <w:rPr>
          <w:rFonts w:cs="Arial"/>
        </w:rPr>
      </w:pPr>
    </w:p>
    <w:p w:rsidR="00D70FE4" w:rsidRPr="00361AAC" w:rsidRDefault="00D70FE4" w:rsidP="00D70FE4">
      <w:pPr>
        <w:numPr>
          <w:ilvl w:val="0"/>
          <w:numId w:val="1"/>
        </w:numPr>
        <w:spacing w:after="120"/>
        <w:rPr>
          <w:rFonts w:cs="Arial"/>
        </w:rPr>
      </w:pPr>
      <w:r w:rsidRPr="00361AAC">
        <w:rPr>
          <w:rFonts w:cs="Arial"/>
        </w:rPr>
        <w:t xml:space="preserve">Disambiguation – A disambiguation algorithm may be appended to the output of the ACCA algorithm, to clean up the ambiguous results.  This disambiguation algorithm may be the gD02 algorithm used in Expanded AT-ACCA, or may be a new algorithm designed for use with </w:t>
      </w:r>
      <w:r>
        <w:rPr>
          <w:rFonts w:cs="Arial"/>
        </w:rPr>
        <w:t>L8/9</w:t>
      </w:r>
      <w:r w:rsidRPr="00361AAC">
        <w:rPr>
          <w:rFonts w:cs="Arial"/>
        </w:rPr>
        <w:t xml:space="preserve"> ACCA.  </w:t>
      </w:r>
    </w:p>
    <w:p w:rsidR="00D70FE4" w:rsidRPr="00361AAC" w:rsidRDefault="00D70FE4" w:rsidP="00D70FE4">
      <w:pPr>
        <w:numPr>
          <w:ilvl w:val="0"/>
          <w:numId w:val="1"/>
        </w:numPr>
        <w:spacing w:after="120"/>
        <w:rPr>
          <w:rFonts w:cs="Arial"/>
        </w:rPr>
      </w:pPr>
      <w:r w:rsidRPr="00361AAC">
        <w:rPr>
          <w:rFonts w:cs="Arial"/>
        </w:rPr>
        <w:t xml:space="preserve">Surface Temperature – The ACCA algorithm may be re-engineered to use a split window algorithm, which uses two thermal bands to calculate an approximate surface temperature.  This will require converting two of the </w:t>
      </w:r>
      <w:r>
        <w:rPr>
          <w:rFonts w:cs="Arial"/>
        </w:rPr>
        <w:t>TIRS</w:t>
      </w:r>
      <w:r w:rsidRPr="00361AAC">
        <w:rPr>
          <w:rFonts w:cs="Arial"/>
        </w:rPr>
        <w:t xml:space="preserve"> bands into a surface temperature before passing through the ACCA decision tree.  The surface temperature algorithm is TBD.</w:t>
      </w:r>
    </w:p>
    <w:p w:rsidR="00D70FE4" w:rsidRPr="00361AAC" w:rsidRDefault="00D70FE4" w:rsidP="00D70FE4">
      <w:pPr>
        <w:numPr>
          <w:ilvl w:val="0"/>
          <w:numId w:val="1"/>
        </w:numPr>
        <w:spacing w:after="120"/>
        <w:rPr>
          <w:rFonts w:cs="Arial"/>
        </w:rPr>
      </w:pPr>
      <w:r w:rsidRPr="00361AAC">
        <w:rPr>
          <w:rFonts w:cs="Arial"/>
        </w:rPr>
        <w:t>Whole Scene Processing – The above procedure assumes that each pixel is read in, processed, and written back out in sequence.  This method uses less system memory and is parallelizable.  However, for performance reasons, it may be desirable to read in all (or a portion) of the bands and process them in memory before writing out the mask.  This will require changes to the main loop process flow and to the process flow of the CCA control system.</w:t>
      </w:r>
    </w:p>
    <w:p w:rsidR="00D70FE4" w:rsidRPr="00361AAC" w:rsidRDefault="00D70FE4" w:rsidP="00D70FE4">
      <w:pPr>
        <w:numPr>
          <w:ilvl w:val="0"/>
          <w:numId w:val="1"/>
        </w:numPr>
        <w:spacing w:after="120"/>
        <w:rPr>
          <w:rFonts w:cs="Arial"/>
        </w:rPr>
      </w:pPr>
      <w:r w:rsidRPr="00361AAC">
        <w:rPr>
          <w:rFonts w:cs="Arial"/>
        </w:rPr>
        <w:lastRenderedPageBreak/>
        <w:t xml:space="preserve">Classification Improvements </w:t>
      </w:r>
      <w:proofErr w:type="gramStart"/>
      <w:r w:rsidRPr="00361AAC">
        <w:rPr>
          <w:rFonts w:cs="Arial"/>
        </w:rPr>
        <w:t>–  The</w:t>
      </w:r>
      <w:proofErr w:type="gramEnd"/>
      <w:r w:rsidRPr="00361AAC">
        <w:rPr>
          <w:rFonts w:cs="Arial"/>
        </w:rPr>
        <w:t xml:space="preserve"> AT-ACCA algorithm can be altered to output Vegetation classification for each pixel in the cloud mask.  This is not expected to be studied in detail until after the launch of Landsat 8.</w:t>
      </w:r>
    </w:p>
    <w:p w:rsidR="00D70FE4" w:rsidRPr="00361AAC" w:rsidRDefault="00D70FE4" w:rsidP="00D70FE4">
      <w:pPr>
        <w:numPr>
          <w:ilvl w:val="0"/>
          <w:numId w:val="1"/>
        </w:numPr>
        <w:spacing w:after="120"/>
        <w:rPr>
          <w:rFonts w:cs="Arial"/>
        </w:rPr>
      </w:pPr>
      <w:r w:rsidRPr="00361AAC">
        <w:rPr>
          <w:rFonts w:cs="Arial"/>
        </w:rPr>
        <w:t xml:space="preserve">Band 2 – This ADD has been specified with </w:t>
      </w:r>
      <w:r>
        <w:rPr>
          <w:rFonts w:cs="Arial"/>
        </w:rPr>
        <w:t>TIRS</w:t>
      </w:r>
      <w:r w:rsidRPr="00361AAC">
        <w:rPr>
          <w:rFonts w:cs="Arial"/>
        </w:rPr>
        <w:t xml:space="preserve"> Band 1 as the input thermal data.  As of this writing it is not clear which band will be best for deriving thermal brightness temperature.  In the future </w:t>
      </w:r>
      <w:r>
        <w:rPr>
          <w:rFonts w:cs="Arial"/>
        </w:rPr>
        <w:t>TIRS</w:t>
      </w:r>
      <w:r w:rsidRPr="00361AAC">
        <w:rPr>
          <w:rFonts w:cs="Arial"/>
        </w:rPr>
        <w:t xml:space="preserve"> Band 1 may be replaced with </w:t>
      </w:r>
      <w:r>
        <w:rPr>
          <w:rFonts w:cs="Arial"/>
        </w:rPr>
        <w:t>TIRS</w:t>
      </w:r>
      <w:r w:rsidRPr="00361AAC">
        <w:rPr>
          <w:rFonts w:cs="Arial"/>
        </w:rPr>
        <w:t xml:space="preserve"> Band 2 to improve the algorithm.</w:t>
      </w:r>
    </w:p>
    <w:p w:rsidR="00D70FE4" w:rsidRPr="00361AAC" w:rsidRDefault="00D70FE4" w:rsidP="00D70FE4">
      <w:pPr>
        <w:numPr>
          <w:ilvl w:val="0"/>
          <w:numId w:val="1"/>
        </w:numPr>
        <w:spacing w:after="120"/>
        <w:rPr>
          <w:rFonts w:cs="Arial"/>
        </w:rPr>
      </w:pPr>
      <w:r w:rsidRPr="00361AAC">
        <w:rPr>
          <w:rFonts w:cs="Arial"/>
        </w:rPr>
        <w:t>Additional parameters – Any of the above changes to this algorithm may require additional input parameters, most likely including (but not limited to) the Solar Elevation Angle.</w:t>
      </w:r>
    </w:p>
    <w:p w:rsidR="00000AB9" w:rsidRDefault="00000AB9">
      <w:bookmarkStart w:id="5" w:name="_GoBack"/>
      <w:bookmarkEnd w:id="0"/>
      <w:bookmarkEnd w:id="1"/>
      <w:bookmarkEnd w:id="5"/>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5BDE"/>
    <w:multiLevelType w:val="hybridMultilevel"/>
    <w:tmpl w:val="22CC6B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240455"/>
    <w:multiLevelType w:val="hybridMultilevel"/>
    <w:tmpl w:val="C80E36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E4"/>
    <w:rsid w:val="00000AB9"/>
    <w:rsid w:val="00D70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E785B-605B-46E5-AC8B-7226D17A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FE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FE4"/>
    <w:pPr>
      <w:keepNext/>
      <w:numPr>
        <w:numId w:val="3"/>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D70FE4"/>
    <w:pPr>
      <w:keepNext/>
      <w:numPr>
        <w:ilvl w:val="1"/>
        <w:numId w:val="3"/>
      </w:numPr>
      <w:spacing w:before="240" w:after="60"/>
      <w:outlineLvl w:val="1"/>
    </w:pPr>
    <w:rPr>
      <w:rFonts w:cs="Arial"/>
      <w:b/>
      <w:bCs/>
      <w:iCs/>
      <w:sz w:val="28"/>
      <w:szCs w:val="28"/>
    </w:rPr>
  </w:style>
  <w:style w:type="paragraph" w:styleId="Heading3">
    <w:name w:val="heading 3"/>
    <w:basedOn w:val="Normal"/>
    <w:next w:val="Normal"/>
    <w:link w:val="Heading3Char"/>
    <w:qFormat/>
    <w:rsid w:val="00D70FE4"/>
    <w:pPr>
      <w:keepNext/>
      <w:numPr>
        <w:ilvl w:val="2"/>
        <w:numId w:val="3"/>
      </w:numPr>
      <w:spacing w:before="240" w:after="60"/>
      <w:outlineLvl w:val="2"/>
    </w:pPr>
    <w:rPr>
      <w:b/>
      <w:szCs w:val="20"/>
    </w:rPr>
  </w:style>
  <w:style w:type="paragraph" w:styleId="Heading4">
    <w:name w:val="heading 4"/>
    <w:basedOn w:val="Normal"/>
    <w:next w:val="Normal"/>
    <w:link w:val="Heading4Char"/>
    <w:qFormat/>
    <w:rsid w:val="00D70FE4"/>
    <w:pPr>
      <w:keepNext/>
      <w:numPr>
        <w:ilvl w:val="3"/>
        <w:numId w:val="3"/>
      </w:numPr>
      <w:spacing w:before="240" w:after="60"/>
      <w:outlineLvl w:val="3"/>
    </w:pPr>
    <w:rPr>
      <w:b/>
      <w:szCs w:val="20"/>
    </w:rPr>
  </w:style>
  <w:style w:type="paragraph" w:styleId="Heading5">
    <w:name w:val="heading 5"/>
    <w:basedOn w:val="Normal"/>
    <w:next w:val="Normal"/>
    <w:link w:val="Heading5Char"/>
    <w:qFormat/>
    <w:rsid w:val="00D70FE4"/>
    <w:pPr>
      <w:keepNext/>
      <w:numPr>
        <w:ilvl w:val="4"/>
        <w:numId w:val="3"/>
      </w:numPr>
      <w:spacing w:before="240" w:after="60"/>
      <w:outlineLvl w:val="4"/>
    </w:pPr>
    <w:rPr>
      <w:b/>
      <w:szCs w:val="20"/>
    </w:rPr>
  </w:style>
  <w:style w:type="paragraph" w:styleId="Heading6">
    <w:name w:val="heading 6"/>
    <w:basedOn w:val="Normal"/>
    <w:next w:val="Normal"/>
    <w:link w:val="Heading6Char"/>
    <w:qFormat/>
    <w:rsid w:val="00D70FE4"/>
    <w:pPr>
      <w:keepNext/>
      <w:numPr>
        <w:ilvl w:val="5"/>
        <w:numId w:val="3"/>
      </w:numPr>
      <w:spacing w:before="240" w:after="60"/>
      <w:outlineLvl w:val="5"/>
    </w:pPr>
    <w:rPr>
      <w:b/>
      <w:szCs w:val="20"/>
    </w:rPr>
  </w:style>
  <w:style w:type="paragraph" w:styleId="Heading7">
    <w:name w:val="heading 7"/>
    <w:basedOn w:val="Normal"/>
    <w:next w:val="Normal"/>
    <w:link w:val="Heading7Char"/>
    <w:qFormat/>
    <w:rsid w:val="00D70FE4"/>
    <w:pPr>
      <w:keepNext/>
      <w:numPr>
        <w:ilvl w:val="6"/>
        <w:numId w:val="3"/>
      </w:numPr>
      <w:spacing w:before="240" w:after="60"/>
      <w:outlineLvl w:val="6"/>
    </w:pPr>
    <w:rPr>
      <w:b/>
      <w:szCs w:val="20"/>
    </w:rPr>
  </w:style>
  <w:style w:type="paragraph" w:styleId="Heading8">
    <w:name w:val="heading 8"/>
    <w:basedOn w:val="Normal"/>
    <w:next w:val="Normal"/>
    <w:link w:val="Heading8Char"/>
    <w:qFormat/>
    <w:rsid w:val="00D70FE4"/>
    <w:pPr>
      <w:keepNext/>
      <w:numPr>
        <w:ilvl w:val="7"/>
        <w:numId w:val="3"/>
      </w:numPr>
      <w:spacing w:before="240" w:after="60"/>
      <w:outlineLvl w:val="7"/>
    </w:pPr>
    <w:rPr>
      <w:b/>
      <w:szCs w:val="20"/>
    </w:rPr>
  </w:style>
  <w:style w:type="paragraph" w:styleId="Heading9">
    <w:name w:val="heading 9"/>
    <w:basedOn w:val="Normal"/>
    <w:next w:val="Normal"/>
    <w:link w:val="Heading9Char"/>
    <w:qFormat/>
    <w:rsid w:val="00D70FE4"/>
    <w:pPr>
      <w:keepNext/>
      <w:numPr>
        <w:ilvl w:val="8"/>
        <w:numId w:val="3"/>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FE4"/>
    <w:rPr>
      <w:rFonts w:ascii="Arial" w:eastAsia="Times New Roman" w:hAnsi="Arial" w:cs="Times New Roman"/>
      <w:b/>
      <w:sz w:val="32"/>
      <w:szCs w:val="20"/>
    </w:rPr>
  </w:style>
  <w:style w:type="character" w:customStyle="1" w:styleId="Heading2Char">
    <w:name w:val="Heading 2 Char"/>
    <w:basedOn w:val="DefaultParagraphFont"/>
    <w:link w:val="Heading2"/>
    <w:rsid w:val="00D70FE4"/>
    <w:rPr>
      <w:rFonts w:ascii="Arial" w:eastAsia="Times New Roman" w:hAnsi="Arial" w:cs="Arial"/>
      <w:b/>
      <w:bCs/>
      <w:iCs/>
      <w:sz w:val="28"/>
      <w:szCs w:val="28"/>
    </w:rPr>
  </w:style>
  <w:style w:type="character" w:customStyle="1" w:styleId="Heading3Char">
    <w:name w:val="Heading 3 Char"/>
    <w:basedOn w:val="DefaultParagraphFont"/>
    <w:link w:val="Heading3"/>
    <w:rsid w:val="00D70FE4"/>
    <w:rPr>
      <w:rFonts w:ascii="Arial" w:eastAsia="Times New Roman" w:hAnsi="Arial" w:cs="Times New Roman"/>
      <w:b/>
      <w:sz w:val="24"/>
      <w:szCs w:val="20"/>
    </w:rPr>
  </w:style>
  <w:style w:type="character" w:customStyle="1" w:styleId="Heading4Char">
    <w:name w:val="Heading 4 Char"/>
    <w:basedOn w:val="DefaultParagraphFont"/>
    <w:link w:val="Heading4"/>
    <w:rsid w:val="00D70FE4"/>
    <w:rPr>
      <w:rFonts w:ascii="Arial" w:eastAsia="Times New Roman" w:hAnsi="Arial" w:cs="Times New Roman"/>
      <w:b/>
      <w:sz w:val="24"/>
      <w:szCs w:val="20"/>
    </w:rPr>
  </w:style>
  <w:style w:type="character" w:customStyle="1" w:styleId="Heading5Char">
    <w:name w:val="Heading 5 Char"/>
    <w:basedOn w:val="DefaultParagraphFont"/>
    <w:link w:val="Heading5"/>
    <w:rsid w:val="00D70FE4"/>
    <w:rPr>
      <w:rFonts w:ascii="Arial" w:eastAsia="Times New Roman" w:hAnsi="Arial" w:cs="Times New Roman"/>
      <w:b/>
      <w:sz w:val="24"/>
      <w:szCs w:val="20"/>
    </w:rPr>
  </w:style>
  <w:style w:type="character" w:customStyle="1" w:styleId="Heading6Char">
    <w:name w:val="Heading 6 Char"/>
    <w:basedOn w:val="DefaultParagraphFont"/>
    <w:link w:val="Heading6"/>
    <w:rsid w:val="00D70FE4"/>
    <w:rPr>
      <w:rFonts w:ascii="Arial" w:eastAsia="Times New Roman" w:hAnsi="Arial" w:cs="Times New Roman"/>
      <w:b/>
      <w:sz w:val="24"/>
      <w:szCs w:val="20"/>
    </w:rPr>
  </w:style>
  <w:style w:type="character" w:customStyle="1" w:styleId="Heading7Char">
    <w:name w:val="Heading 7 Char"/>
    <w:basedOn w:val="DefaultParagraphFont"/>
    <w:link w:val="Heading7"/>
    <w:rsid w:val="00D70FE4"/>
    <w:rPr>
      <w:rFonts w:ascii="Arial" w:eastAsia="Times New Roman" w:hAnsi="Arial" w:cs="Times New Roman"/>
      <w:b/>
      <w:sz w:val="24"/>
      <w:szCs w:val="20"/>
    </w:rPr>
  </w:style>
  <w:style w:type="character" w:customStyle="1" w:styleId="Heading8Char">
    <w:name w:val="Heading 8 Char"/>
    <w:basedOn w:val="DefaultParagraphFont"/>
    <w:link w:val="Heading8"/>
    <w:rsid w:val="00D70FE4"/>
    <w:rPr>
      <w:rFonts w:ascii="Arial" w:eastAsia="Times New Roman" w:hAnsi="Arial" w:cs="Times New Roman"/>
      <w:b/>
      <w:sz w:val="24"/>
      <w:szCs w:val="20"/>
    </w:rPr>
  </w:style>
  <w:style w:type="character" w:customStyle="1" w:styleId="Heading9Char">
    <w:name w:val="Heading 9 Char"/>
    <w:basedOn w:val="DefaultParagraphFont"/>
    <w:link w:val="Heading9"/>
    <w:rsid w:val="00D70FE4"/>
    <w:rPr>
      <w:rFonts w:ascii="Arial" w:eastAsia="Times New Roman" w:hAnsi="Arial" w:cs="Arial"/>
      <w:b/>
      <w:sz w:val="24"/>
    </w:rPr>
  </w:style>
  <w:style w:type="paragraph" w:styleId="Caption">
    <w:name w:val="caption"/>
    <w:basedOn w:val="Normal"/>
    <w:next w:val="Normal"/>
    <w:qFormat/>
    <w:rsid w:val="00D70FE4"/>
    <w:pPr>
      <w:spacing w:before="240" w:after="240"/>
      <w:jc w:val="center"/>
    </w:pPr>
    <w:rPr>
      <w:b/>
      <w:bCs/>
      <w:i/>
      <w:szCs w:val="20"/>
    </w:rPr>
  </w:style>
  <w:style w:type="paragraph" w:customStyle="1" w:styleId="Wheres">
    <w:name w:val="Wheres"/>
    <w:basedOn w:val="Normal"/>
    <w:rsid w:val="00D70FE4"/>
    <w:pPr>
      <w:tabs>
        <w:tab w:val="left" w:pos="1980"/>
        <w:tab w:val="left" w:pos="2880"/>
        <w:tab w:val="left" w:pos="3240"/>
      </w:tabs>
      <w:ind w:left="3240" w:hanging="21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5516</Characters>
  <Application>Microsoft Office Word</Application>
  <DocSecurity>0</DocSecurity>
  <Lines>45</Lines>
  <Paragraphs>12</Paragraphs>
  <ScaleCrop>false</ScaleCrop>
  <Company>USGS EROS</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2017-03-09T18:05:00Z</dcterms:created>
  <dcterms:modified xsi:type="dcterms:W3CDTF">2017-03-09T18:05:00Z</dcterms:modified>
</cp:coreProperties>
</file>