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1F" w:rsidRPr="00931C40" w:rsidRDefault="00DE451F" w:rsidP="00DE451F">
      <w:pPr>
        <w:pStyle w:val="Heading3"/>
      </w:pPr>
      <w:bookmarkStart w:id="0" w:name="_Toc476818640"/>
      <w:r>
        <w:t>Radiance Rescaling</w:t>
      </w:r>
      <w:bookmarkEnd w:id="0"/>
    </w:p>
    <w:p w:rsidR="00DE451F" w:rsidRDefault="00DE451F" w:rsidP="00DE451F">
      <w:pPr>
        <w:pStyle w:val="Heading4"/>
      </w:pPr>
      <w:r>
        <w:t>Background</w:t>
      </w:r>
    </w:p>
    <w:p w:rsidR="00DE451F" w:rsidRDefault="00DE451F" w:rsidP="00DE451F">
      <w:r>
        <w:t xml:space="preserve">The standard L8/9 products are OLI reflectance and TIRS radiance products in 16-bit integer format. The OLI and TIRS data are </w:t>
      </w:r>
      <w:proofErr w:type="spellStart"/>
      <w:r>
        <w:t>radiometrically</w:t>
      </w:r>
      <w:proofErr w:type="spellEnd"/>
      <w:r>
        <w:t xml:space="preserve"> and geometrically processed using floating point operations. For OLI, this algorithm scales and converts the resultant L1G reflectance from floating point format to 16-bit integer format using scaling parameters from the CPF. In addition, the algorithm provides rescaling coefficients for direct conversion from 16-bit integer reflectance to floating point radiance. For TIRS, the algorithm scales and converts radiance values from floating point format to 16-bit integer format. The algorithm assumes that no scaling is applied during the Geometric Processing. </w:t>
      </w:r>
    </w:p>
    <w:p w:rsidR="00DE451F" w:rsidRPr="007F00F6" w:rsidRDefault="00DE451F" w:rsidP="00DE451F">
      <w:pPr>
        <w:pStyle w:val="Heading4"/>
      </w:pPr>
      <w:r>
        <w:t>Inputs</w:t>
      </w:r>
    </w:p>
    <w:tbl>
      <w:tblPr>
        <w:tblW w:w="9013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0"/>
        <w:gridCol w:w="990"/>
        <w:gridCol w:w="1353"/>
        <w:gridCol w:w="1080"/>
        <w:gridCol w:w="1440"/>
        <w:gridCol w:w="900"/>
      </w:tblGrid>
      <w:tr w:rsidR="00DE451F" w:rsidRPr="009C5918" w:rsidTr="00132F6D">
        <w:trPr>
          <w:trHeight w:val="300"/>
        </w:trPr>
        <w:tc>
          <w:tcPr>
            <w:tcW w:w="325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b/>
                <w:szCs w:val="20"/>
                <w:lang w:bidi="x-none"/>
              </w:rPr>
            </w:pPr>
            <w:r>
              <w:rPr>
                <w:b/>
                <w:szCs w:val="20"/>
                <w:lang w:bidi="x-none"/>
              </w:rPr>
              <w:t>Descriptions</w:t>
            </w:r>
            <w:r w:rsidRPr="009C5918">
              <w:rPr>
                <w:b/>
                <w:szCs w:val="20"/>
                <w:lang w:bidi="x-none"/>
              </w:rPr>
              <w:t xml:space="preserve"> 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DE451F" w:rsidRPr="009C5918" w:rsidRDefault="00DE451F" w:rsidP="00132F6D">
            <w:pPr>
              <w:rPr>
                <w:b/>
                <w:szCs w:val="20"/>
                <w:lang w:bidi="x-none"/>
              </w:rPr>
            </w:pPr>
            <w:r>
              <w:rPr>
                <w:b/>
                <w:szCs w:val="20"/>
                <w:lang w:bidi="x-none"/>
              </w:rPr>
              <w:t>Symbol</w:t>
            </w:r>
          </w:p>
        </w:tc>
        <w:tc>
          <w:tcPr>
            <w:tcW w:w="1353" w:type="dxa"/>
            <w:tcBorders>
              <w:left w:val="single" w:sz="6" w:space="0" w:color="auto"/>
              <w:right w:val="single" w:sz="6" w:space="0" w:color="auto"/>
            </w:tcBorders>
          </w:tcPr>
          <w:p w:rsidR="00DE451F" w:rsidRPr="009C5918" w:rsidRDefault="00DE451F" w:rsidP="00132F6D">
            <w:pPr>
              <w:rPr>
                <w:b/>
                <w:szCs w:val="20"/>
                <w:lang w:bidi="x-none"/>
              </w:rPr>
            </w:pPr>
            <w:r>
              <w:rPr>
                <w:b/>
                <w:szCs w:val="20"/>
                <w:lang w:bidi="x-none"/>
              </w:rPr>
              <w:t>Units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b/>
                <w:szCs w:val="20"/>
                <w:lang w:bidi="x-none"/>
              </w:rPr>
            </w:pPr>
            <w:r w:rsidRPr="009C5918">
              <w:rPr>
                <w:b/>
                <w:szCs w:val="20"/>
                <w:lang w:bidi="x-none"/>
              </w:rPr>
              <w:t xml:space="preserve">Level 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b/>
                <w:szCs w:val="20"/>
                <w:lang w:bidi="x-none"/>
              </w:rPr>
            </w:pPr>
            <w:r w:rsidRPr="009C5918">
              <w:rPr>
                <w:b/>
                <w:szCs w:val="20"/>
                <w:lang w:bidi="x-none"/>
              </w:rPr>
              <w:t>Source</w:t>
            </w:r>
          </w:p>
        </w:tc>
        <w:tc>
          <w:tcPr>
            <w:tcW w:w="900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b/>
                <w:szCs w:val="20"/>
                <w:lang w:bidi="x-none"/>
              </w:rPr>
            </w:pPr>
            <w:r w:rsidRPr="009C5918">
              <w:rPr>
                <w:b/>
                <w:szCs w:val="20"/>
                <w:lang w:bidi="x-none"/>
              </w:rPr>
              <w:t>Type</w:t>
            </w:r>
          </w:p>
        </w:tc>
      </w:tr>
      <w:tr w:rsidR="00DE451F" w:rsidRPr="009C5918" w:rsidTr="00132F6D">
        <w:trPr>
          <w:trHeight w:val="300"/>
        </w:trPr>
        <w:tc>
          <w:tcPr>
            <w:tcW w:w="9013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For OLI: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Reflectance scene</w:t>
            </w:r>
            <w:r w:rsidRPr="009C5918">
              <w:rPr>
                <w:szCs w:val="20"/>
                <w:lang w:bidi="x-none"/>
              </w:rPr>
              <w:t xml:space="preserve"> (L1G)</w:t>
            </w:r>
            <w:r>
              <w:rPr>
                <w:szCs w:val="20"/>
                <w:lang w:bidi="x-none"/>
              </w:rPr>
              <w:t xml:space="preserve"> 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690003">
              <w:rPr>
                <w:i/>
                <w:szCs w:val="20"/>
                <w:lang w:bidi="x-none"/>
              </w:rPr>
              <w:t>ρ</w:t>
            </w:r>
          </w:p>
        </w:tc>
        <w:tc>
          <w:tcPr>
            <w:tcW w:w="13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  <w:r>
              <w:rPr>
                <w:szCs w:val="20"/>
                <w:lang w:bidi="x-none"/>
              </w:rPr>
              <w:t xml:space="preserve"> x N</w:t>
            </w:r>
            <w:r w:rsidRPr="00E515CF">
              <w:rPr>
                <w:szCs w:val="20"/>
                <w:vertAlign w:val="subscript"/>
                <w:lang w:bidi="x-none"/>
              </w:rPr>
              <w:t>SCA</w:t>
            </w:r>
            <w:r>
              <w:rPr>
                <w:szCs w:val="20"/>
                <w:vertAlign w:val="subscript"/>
                <w:lang w:bidi="x-none"/>
              </w:rPr>
              <w:t>s</w:t>
            </w:r>
            <w:r>
              <w:rPr>
                <w:szCs w:val="20"/>
                <w:lang w:bidi="x-none"/>
              </w:rPr>
              <w:t xml:space="preserve"> x </w:t>
            </w: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d</w:t>
            </w:r>
            <w:r w:rsidRPr="00E515CF">
              <w:rPr>
                <w:szCs w:val="20"/>
                <w:vertAlign w:val="subscript"/>
                <w:lang w:bidi="x-none"/>
              </w:rPr>
              <w:t>et</w:t>
            </w:r>
            <w:r>
              <w:rPr>
                <w:szCs w:val="20"/>
                <w:vertAlign w:val="subscript"/>
                <w:lang w:bidi="x-none"/>
              </w:rPr>
              <w:t>ectors</w:t>
            </w:r>
            <w:proofErr w:type="spellEnd"/>
            <w:r w:rsidRPr="004237DA">
              <w:rPr>
                <w:szCs w:val="20"/>
                <w:lang w:bidi="x-none"/>
              </w:rPr>
              <w:t xml:space="preserve"> x </w:t>
            </w:r>
            <w:proofErr w:type="spellStart"/>
            <w:r w:rsidRPr="004237DA"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frames</w:t>
            </w:r>
            <w:proofErr w:type="spellEnd"/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EA54C7" w:rsidRDefault="00DE451F" w:rsidP="00132F6D">
            <w:pPr>
              <w:rPr>
                <w:lang w:bidi="x-none"/>
              </w:rPr>
            </w:pPr>
            <w:r w:rsidRPr="00EA54C7">
              <w:rPr>
                <w:lang w:bidi="x-none"/>
              </w:rPr>
              <w:t>Geometric Processing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Reflectance multiplicative scaling 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i/>
                <w:szCs w:val="20"/>
                <w:lang w:bidi="x-none"/>
              </w:rPr>
              <w:t>M</w:t>
            </w:r>
            <w:r w:rsidRPr="00720E91">
              <w:rPr>
                <w:i/>
                <w:szCs w:val="20"/>
                <w:vertAlign w:val="subscript"/>
                <w:lang w:bidi="x-none"/>
              </w:rPr>
              <w:t>ρ</w:t>
            </w:r>
            <w:proofErr w:type="spellEnd"/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EA54C7">
              <w:rPr>
                <w:i/>
                <w:szCs w:val="20"/>
                <w:lang w:bidi="x-none"/>
              </w:rPr>
              <w:t>DN</w:t>
            </w:r>
            <w:r w:rsidRPr="006A7288">
              <w:rPr>
                <w:i/>
                <w:szCs w:val="20"/>
                <w:vertAlign w:val="superscript"/>
                <w:lang w:bidi="x-none"/>
              </w:rPr>
              <w:t>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CPF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Reflectance additive scaling 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i/>
                <w:szCs w:val="20"/>
                <w:lang w:bidi="x-none"/>
              </w:rPr>
              <w:t>A</w:t>
            </w:r>
            <w:r w:rsidRPr="00720E91">
              <w:rPr>
                <w:i/>
                <w:szCs w:val="20"/>
                <w:vertAlign w:val="subscript"/>
                <w:lang w:bidi="x-none"/>
              </w:rPr>
              <w:t>ρ</w:t>
            </w:r>
            <w:proofErr w:type="spellEnd"/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CPF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Reflectance to Radiance conversion coefficient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Pr="00391136" w:rsidRDefault="00DE451F" w:rsidP="00132F6D">
            <w:pPr>
              <w:rPr>
                <w:i/>
                <w:szCs w:val="20"/>
                <w:lang w:bidi="x-none"/>
              </w:rPr>
            </w:pPr>
            <w:proofErr w:type="spellStart"/>
            <w:r w:rsidRPr="00391136">
              <w:rPr>
                <w:i/>
                <w:szCs w:val="20"/>
                <w:lang w:bidi="x-none"/>
              </w:rPr>
              <w:t>ρ</w:t>
            </w:r>
            <w:r w:rsidRPr="00391136">
              <w:rPr>
                <w:i/>
                <w:szCs w:val="20"/>
                <w:vertAlign w:val="subscript"/>
                <w:lang w:bidi="x-none"/>
              </w:rPr>
              <w:t>R</w:t>
            </w:r>
            <w:proofErr w:type="spellEnd"/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E902A2">
              <w:object w:dxaOrig="12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30pt" o:ole="">
                  <v:imagedata r:id="rId5" o:title=""/>
                </v:shape>
                <o:OLEObject Type="Embed" ProgID="Equation.3" ShapeID="_x0000_i1025" DrawAspect="Content" ObjectID="_1550571828" r:id="rId6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Reflectance Conversion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rPr>
          <w:trHeight w:val="300"/>
        </w:trPr>
        <w:tc>
          <w:tcPr>
            <w:tcW w:w="901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For TIRS: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Radiance s</w:t>
            </w:r>
            <w:r w:rsidRPr="009C5918">
              <w:rPr>
                <w:szCs w:val="20"/>
                <w:lang w:bidi="x-none"/>
              </w:rPr>
              <w:t>cene (L1G)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Pr="00391136" w:rsidRDefault="00DE451F" w:rsidP="00132F6D">
            <w:pPr>
              <w:rPr>
                <w:i/>
                <w:szCs w:val="20"/>
                <w:lang w:bidi="x-none"/>
              </w:rPr>
            </w:pPr>
            <w:r>
              <w:rPr>
                <w:i/>
                <w:szCs w:val="20"/>
                <w:lang w:bidi="x-none"/>
              </w:rPr>
              <w:t>L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Default="00DE451F" w:rsidP="00132F6D"/>
          <w:p w:rsidR="00DE451F" w:rsidRDefault="00DE451F" w:rsidP="00132F6D">
            <w:pPr>
              <w:rPr>
                <w:szCs w:val="20"/>
                <w:lang w:bidi="x-none"/>
              </w:rPr>
            </w:pPr>
            <w:r w:rsidRPr="00E902A2">
              <w:object w:dxaOrig="1200" w:dyaOrig="680">
                <v:shape id="_x0000_i1026" type="#_x0000_t75" style="width:53.25pt;height:30pt" o:ole="">
                  <v:imagedata r:id="rId5" o:title=""/>
                </v:shape>
                <o:OLEObject Type="Embed" ProgID="Equation.3" ShapeID="_x0000_i1026" DrawAspect="Content" ObjectID="_1550571829" r:id="rId7"/>
              </w:objec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  <w:r>
              <w:rPr>
                <w:szCs w:val="20"/>
                <w:lang w:bidi="x-none"/>
              </w:rPr>
              <w:t xml:space="preserve"> x N</w:t>
            </w:r>
            <w:r w:rsidRPr="00E515CF">
              <w:rPr>
                <w:szCs w:val="20"/>
                <w:vertAlign w:val="subscript"/>
                <w:lang w:bidi="x-none"/>
              </w:rPr>
              <w:t>SCA</w:t>
            </w:r>
            <w:r>
              <w:rPr>
                <w:szCs w:val="20"/>
                <w:vertAlign w:val="subscript"/>
                <w:lang w:bidi="x-none"/>
              </w:rPr>
              <w:t>s</w:t>
            </w:r>
            <w:r>
              <w:rPr>
                <w:szCs w:val="20"/>
                <w:lang w:bidi="x-none"/>
              </w:rPr>
              <w:t xml:space="preserve"> x </w:t>
            </w: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d</w:t>
            </w:r>
            <w:r w:rsidRPr="00E515CF">
              <w:rPr>
                <w:szCs w:val="20"/>
                <w:vertAlign w:val="subscript"/>
                <w:lang w:bidi="x-none"/>
              </w:rPr>
              <w:t>et</w:t>
            </w:r>
            <w:r>
              <w:rPr>
                <w:szCs w:val="20"/>
                <w:vertAlign w:val="subscript"/>
                <w:lang w:bidi="x-none"/>
              </w:rPr>
              <w:t>ectors</w:t>
            </w:r>
            <w:proofErr w:type="spellEnd"/>
            <w:r w:rsidRPr="004237DA">
              <w:rPr>
                <w:szCs w:val="20"/>
                <w:lang w:bidi="x-none"/>
              </w:rPr>
              <w:t xml:space="preserve"> x </w:t>
            </w:r>
            <w:proofErr w:type="spellStart"/>
            <w:r w:rsidRPr="004237DA"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frames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EA54C7">
              <w:rPr>
                <w:lang w:bidi="x-none"/>
              </w:rPr>
              <w:t>Geometric Processing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Radiance multiplicative scaling 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51F" w:rsidRPr="00391136" w:rsidRDefault="00DE451F" w:rsidP="00132F6D">
            <w:pPr>
              <w:rPr>
                <w:i/>
                <w:szCs w:val="20"/>
                <w:lang w:bidi="x-none"/>
              </w:rPr>
            </w:pPr>
            <w:r>
              <w:rPr>
                <w:i/>
                <w:szCs w:val="20"/>
                <w:lang w:bidi="x-none"/>
              </w:rPr>
              <w:t>M</w:t>
            </w:r>
            <w:r>
              <w:rPr>
                <w:i/>
                <w:szCs w:val="20"/>
                <w:vertAlign w:val="subscript"/>
                <w:lang w:bidi="x-none"/>
              </w:rPr>
              <w:t>L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36372C">
              <w:rPr>
                <w:position w:val="-18"/>
              </w:rPr>
              <w:object w:dxaOrig="1660" w:dyaOrig="859">
                <v:shape id="_x0000_i1027" type="#_x0000_t75" style="width:54pt;height:28.5pt" o:ole="">
                  <v:imagedata r:id="rId8" o:title=""/>
                </v:shape>
                <o:OLEObject Type="Embed" ProgID="Equation.3" ShapeID="_x0000_i1027" DrawAspect="Content" ObjectID="_1550571830" r:id="rId9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CPF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Radiance additive scaling 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451F" w:rsidRPr="00391136" w:rsidRDefault="00DE451F" w:rsidP="00132F6D">
            <w:pPr>
              <w:rPr>
                <w:i/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A</w:t>
            </w:r>
            <w:r>
              <w:rPr>
                <w:i/>
                <w:szCs w:val="20"/>
                <w:vertAlign w:val="subscript"/>
                <w:lang w:bidi="x-none"/>
              </w:rPr>
              <w:t>L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51F" w:rsidRPr="00EA54C7" w:rsidRDefault="00DE451F" w:rsidP="00132F6D">
            <w:pPr>
              <w:rPr>
                <w:i/>
                <w:szCs w:val="20"/>
                <w:lang w:bidi="x-none"/>
              </w:rPr>
            </w:pPr>
            <w:r w:rsidRPr="00E902A2">
              <w:object w:dxaOrig="1200" w:dyaOrig="680">
                <v:shape id="_x0000_i1028" type="#_x0000_t75" style="width:53.25pt;height:30pt" o:ole="">
                  <v:imagedata r:id="rId5" o:title=""/>
                </v:shape>
                <o:OLEObject Type="Embed" ProgID="Equation.3" ShapeID="_x0000_i1028" DrawAspect="Content" ObjectID="_1550571831" r:id="rId10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CPF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float</w:t>
            </w:r>
          </w:p>
        </w:tc>
      </w:tr>
    </w:tbl>
    <w:p w:rsidR="00DE451F" w:rsidRPr="007F00F6" w:rsidRDefault="00DE451F" w:rsidP="00DE451F">
      <w:pPr>
        <w:pStyle w:val="Heading4"/>
      </w:pPr>
      <w:r>
        <w:t>Outputs</w:t>
      </w:r>
    </w:p>
    <w:tbl>
      <w:tblPr>
        <w:tblW w:w="9013" w:type="dxa"/>
        <w:tblInd w:w="95" w:type="dxa"/>
        <w:tblLook w:val="0000" w:firstRow="0" w:lastRow="0" w:firstColumn="0" w:lastColumn="0" w:noHBand="0" w:noVBand="0"/>
      </w:tblPr>
      <w:tblGrid>
        <w:gridCol w:w="3250"/>
        <w:gridCol w:w="1083"/>
        <w:gridCol w:w="1297"/>
        <w:gridCol w:w="1099"/>
        <w:gridCol w:w="1480"/>
        <w:gridCol w:w="900"/>
      </w:tblGrid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rFonts w:ascii="Times" w:hAnsi="Times"/>
                <w:b/>
                <w:szCs w:val="20"/>
                <w:lang w:bidi="x-none"/>
              </w:rPr>
            </w:pPr>
            <w:r>
              <w:rPr>
                <w:b/>
                <w:szCs w:val="20"/>
                <w:lang w:bidi="x-none"/>
              </w:rPr>
              <w:t>Descriptions</w:t>
            </w:r>
            <w:r w:rsidRPr="009C5918">
              <w:rPr>
                <w:rFonts w:ascii="Times" w:hAnsi="Times"/>
                <w:b/>
                <w:szCs w:val="20"/>
                <w:lang w:bidi="x-none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451F" w:rsidRPr="00D049C0" w:rsidRDefault="00DE451F" w:rsidP="00132F6D">
            <w:pPr>
              <w:rPr>
                <w:b/>
                <w:szCs w:val="20"/>
                <w:lang w:bidi="x-none"/>
              </w:rPr>
            </w:pPr>
            <w:r>
              <w:rPr>
                <w:b/>
                <w:szCs w:val="20"/>
                <w:lang w:bidi="x-none"/>
              </w:rPr>
              <w:t>Symbol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451F" w:rsidRPr="00D049C0" w:rsidRDefault="00DE451F" w:rsidP="00132F6D">
            <w:pPr>
              <w:rPr>
                <w:b/>
                <w:szCs w:val="20"/>
                <w:lang w:bidi="x-none"/>
              </w:rPr>
            </w:pPr>
            <w:r>
              <w:rPr>
                <w:b/>
                <w:szCs w:val="20"/>
                <w:lang w:bidi="x-none"/>
              </w:rPr>
              <w:t>Units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D049C0" w:rsidRDefault="00DE451F" w:rsidP="00132F6D">
            <w:pPr>
              <w:rPr>
                <w:b/>
                <w:szCs w:val="20"/>
                <w:lang w:bidi="x-none"/>
              </w:rPr>
            </w:pPr>
            <w:r w:rsidRPr="00D049C0">
              <w:rPr>
                <w:b/>
                <w:szCs w:val="20"/>
                <w:lang w:bidi="x-none"/>
              </w:rPr>
              <w:t>Level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D049C0" w:rsidRDefault="00DE451F" w:rsidP="00132F6D">
            <w:pPr>
              <w:rPr>
                <w:b/>
                <w:szCs w:val="20"/>
                <w:lang w:bidi="x-none"/>
              </w:rPr>
            </w:pPr>
            <w:r w:rsidRPr="00D049C0">
              <w:rPr>
                <w:b/>
                <w:szCs w:val="20"/>
                <w:lang w:bidi="x-none"/>
              </w:rPr>
              <w:t xml:space="preserve">Target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E451F" w:rsidRPr="00D049C0" w:rsidRDefault="00DE451F" w:rsidP="00132F6D">
            <w:pPr>
              <w:rPr>
                <w:b/>
                <w:szCs w:val="20"/>
                <w:lang w:bidi="x-none"/>
              </w:rPr>
            </w:pPr>
            <w:r w:rsidRPr="00D049C0">
              <w:rPr>
                <w:b/>
                <w:szCs w:val="20"/>
                <w:lang w:bidi="x-none"/>
              </w:rPr>
              <w:t xml:space="preserve">Type </w:t>
            </w:r>
          </w:p>
        </w:tc>
      </w:tr>
      <w:tr w:rsidR="00DE451F" w:rsidRPr="009C5918" w:rsidTr="00132F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01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For OLI: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ind w:left="265"/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lastRenderedPageBreak/>
              <w:t>Scene L1G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 w:rsidRPr="00B5059B">
              <w:rPr>
                <w:i/>
                <w:szCs w:val="20"/>
                <w:lang w:bidi="x-none"/>
              </w:rPr>
              <w:t>ρ</w:t>
            </w:r>
            <w:r w:rsidRPr="00B5059B">
              <w:rPr>
                <w:i/>
                <w:szCs w:val="20"/>
                <w:vertAlign w:val="subscript"/>
                <w:lang w:bidi="x-none"/>
              </w:rPr>
              <w:t>int</w:t>
            </w:r>
            <w:proofErr w:type="spellEnd"/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EA54C7">
              <w:rPr>
                <w:i/>
                <w:szCs w:val="20"/>
                <w:lang w:bidi="x-none"/>
              </w:rPr>
              <w:t>DN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  <w:r>
              <w:rPr>
                <w:szCs w:val="20"/>
                <w:lang w:bidi="x-none"/>
              </w:rPr>
              <w:t xml:space="preserve"> x N</w:t>
            </w:r>
            <w:r w:rsidRPr="00E515CF">
              <w:rPr>
                <w:szCs w:val="20"/>
                <w:vertAlign w:val="subscript"/>
                <w:lang w:bidi="x-none"/>
              </w:rPr>
              <w:t>SCA</w:t>
            </w:r>
            <w:r>
              <w:rPr>
                <w:szCs w:val="20"/>
                <w:vertAlign w:val="subscript"/>
                <w:lang w:bidi="x-none"/>
              </w:rPr>
              <w:t>s</w:t>
            </w:r>
            <w:r>
              <w:rPr>
                <w:szCs w:val="20"/>
                <w:lang w:bidi="x-none"/>
              </w:rPr>
              <w:t xml:space="preserve"> x </w:t>
            </w: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d</w:t>
            </w:r>
            <w:r w:rsidRPr="00E515CF">
              <w:rPr>
                <w:szCs w:val="20"/>
                <w:vertAlign w:val="subscript"/>
                <w:lang w:bidi="x-none"/>
              </w:rPr>
              <w:t>et</w:t>
            </w:r>
            <w:r>
              <w:rPr>
                <w:szCs w:val="20"/>
                <w:vertAlign w:val="subscript"/>
                <w:lang w:bidi="x-none"/>
              </w:rPr>
              <w:t>ectors</w:t>
            </w:r>
            <w:proofErr w:type="spellEnd"/>
            <w:r w:rsidRPr="004237DA">
              <w:rPr>
                <w:szCs w:val="20"/>
                <w:lang w:bidi="x-none"/>
              </w:rPr>
              <w:t xml:space="preserve"> x </w:t>
            </w:r>
            <w:proofErr w:type="spellStart"/>
            <w:r w:rsidRPr="004237DA"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frames</w:t>
            </w:r>
            <w:proofErr w:type="spellEnd"/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rFonts w:ascii="Verdana" w:hAnsi="Verdana"/>
                <w:sz w:val="20"/>
                <w:szCs w:val="20"/>
                <w:lang w:bidi="x-none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Ui</w:t>
            </w:r>
            <w:r w:rsidRPr="009C5918">
              <w:rPr>
                <w:szCs w:val="20"/>
                <w:lang w:bidi="x-none"/>
              </w:rPr>
              <w:t>nt</w:t>
            </w:r>
            <w:proofErr w:type="spellEnd"/>
            <w:r w:rsidRPr="009C5918">
              <w:rPr>
                <w:szCs w:val="20"/>
                <w:lang w:bidi="x-none"/>
              </w:rPr>
              <w:t xml:space="preserve"> (16-bit) 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Reflectance multiplicative scaling 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i/>
                <w:szCs w:val="20"/>
                <w:lang w:bidi="x-none"/>
              </w:rPr>
              <w:t>M</w:t>
            </w:r>
            <w:r w:rsidRPr="00720E91">
              <w:rPr>
                <w:i/>
                <w:szCs w:val="20"/>
                <w:vertAlign w:val="subscript"/>
                <w:lang w:bidi="x-none"/>
              </w:rPr>
              <w:t>ρ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EA54C7">
              <w:rPr>
                <w:i/>
                <w:szCs w:val="20"/>
                <w:lang w:bidi="x-none"/>
              </w:rPr>
              <w:t>DN</w:t>
            </w:r>
            <w:r w:rsidRPr="006A7288">
              <w:rPr>
                <w:i/>
                <w:szCs w:val="20"/>
                <w:vertAlign w:val="superscript"/>
                <w:lang w:bidi="x-none"/>
              </w:rPr>
              <w:t>-1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3E4F68" w:rsidRDefault="00DE451F" w:rsidP="00132F6D">
            <w:pPr>
              <w:rPr>
                <w:lang w:bidi="x-none"/>
              </w:rPr>
            </w:pPr>
            <w:r>
              <w:rPr>
                <w:lang w:bidi="x-none"/>
              </w:rPr>
              <w:t>Metadata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Reflectance additive scaling 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i/>
                <w:szCs w:val="20"/>
                <w:lang w:bidi="x-none"/>
              </w:rPr>
              <w:t>A</w:t>
            </w:r>
            <w:r w:rsidRPr="00720E91">
              <w:rPr>
                <w:i/>
                <w:szCs w:val="20"/>
                <w:vertAlign w:val="subscript"/>
                <w:lang w:bidi="x-none"/>
              </w:rPr>
              <w:t>ρ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3E4F68" w:rsidRDefault="00DE451F" w:rsidP="00132F6D">
            <w:pPr>
              <w:rPr>
                <w:lang w:bidi="x-none"/>
              </w:rPr>
            </w:pPr>
            <w:r>
              <w:rPr>
                <w:lang w:bidi="x-none"/>
              </w:rPr>
              <w:t>Metadata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Radiance multiplicative scaling 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>
              <w:rPr>
                <w:i/>
                <w:szCs w:val="20"/>
                <w:lang w:bidi="x-none"/>
              </w:rPr>
              <w:t>M</w:t>
            </w:r>
            <w:r>
              <w:rPr>
                <w:i/>
                <w:szCs w:val="20"/>
                <w:vertAlign w:val="subscript"/>
                <w:lang w:bidi="x-none"/>
              </w:rPr>
              <w:t>L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36372C">
              <w:rPr>
                <w:position w:val="-18"/>
              </w:rPr>
              <w:object w:dxaOrig="1660" w:dyaOrig="859">
                <v:shape id="_x0000_i1029" type="#_x0000_t75" style="width:54pt;height:28.5pt" o:ole="">
                  <v:imagedata r:id="rId8" o:title=""/>
                </v:shape>
                <o:OLEObject Type="Embed" ProgID="Equation.3" ShapeID="_x0000_i1029" DrawAspect="Content" ObjectID="_1550571832" r:id="rId11"/>
              </w:objec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3E4F68" w:rsidRDefault="00DE451F" w:rsidP="00132F6D">
            <w:pPr>
              <w:rPr>
                <w:lang w:bidi="x-none"/>
              </w:rPr>
            </w:pPr>
            <w:r>
              <w:rPr>
                <w:lang w:bidi="x-none"/>
              </w:rPr>
              <w:t>Metadata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rPr>
          <w:trHeight w:val="300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Radiance additive scaling 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A</w:t>
            </w:r>
            <w:r>
              <w:rPr>
                <w:i/>
                <w:szCs w:val="20"/>
                <w:vertAlign w:val="subscript"/>
                <w:lang w:bidi="x-none"/>
              </w:rPr>
              <w:t>L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r w:rsidRPr="00E902A2">
              <w:object w:dxaOrig="1200" w:dyaOrig="680">
                <v:shape id="_x0000_i1030" type="#_x0000_t75" style="width:53.25pt;height:30pt" o:ole="">
                  <v:imagedata r:id="rId5" o:title=""/>
                </v:shape>
                <o:OLEObject Type="Embed" ProgID="Equation.3" ShapeID="_x0000_i1030" DrawAspect="Content" ObjectID="_1550571833" r:id="rId12"/>
              </w:objec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9C5918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Pr="003E4F68" w:rsidRDefault="00DE451F" w:rsidP="00132F6D">
            <w:pPr>
              <w:rPr>
                <w:lang w:bidi="x-none"/>
              </w:rPr>
            </w:pPr>
            <w:r>
              <w:rPr>
                <w:lang w:bidi="x-none"/>
              </w:rPr>
              <w:t>Metadata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01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For TIRS:</w:t>
            </w:r>
          </w:p>
        </w:tc>
      </w:tr>
      <w:tr w:rsidR="00DE451F" w:rsidRPr="009C5918" w:rsidTr="00132F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325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S</w:t>
            </w:r>
            <w:r w:rsidRPr="009C5918">
              <w:rPr>
                <w:szCs w:val="20"/>
                <w:lang w:bidi="x-none"/>
              </w:rPr>
              <w:t>cene (L1G)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Pr="00391136" w:rsidRDefault="00DE451F" w:rsidP="00132F6D">
            <w:pPr>
              <w:rPr>
                <w:i/>
                <w:szCs w:val="20"/>
                <w:lang w:bidi="x-none"/>
              </w:rPr>
            </w:pPr>
            <w:r>
              <w:rPr>
                <w:i/>
                <w:szCs w:val="20"/>
                <w:lang w:bidi="x-none"/>
              </w:rPr>
              <w:t>L</w:t>
            </w:r>
            <w:r w:rsidRPr="006A7288">
              <w:rPr>
                <w:i/>
                <w:szCs w:val="20"/>
                <w:vertAlign w:val="subscript"/>
                <w:lang w:bidi="x-none"/>
              </w:rPr>
              <w:t>int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Default="00DE451F" w:rsidP="00132F6D">
            <w:pPr>
              <w:rPr>
                <w:i/>
                <w:szCs w:val="20"/>
                <w:lang w:bidi="x-none"/>
              </w:rPr>
            </w:pPr>
          </w:p>
          <w:p w:rsidR="00DE451F" w:rsidRDefault="00DE451F" w:rsidP="00132F6D">
            <w:pPr>
              <w:rPr>
                <w:szCs w:val="20"/>
                <w:lang w:bidi="x-none"/>
              </w:rPr>
            </w:pPr>
            <w:r w:rsidRPr="00EA54C7">
              <w:rPr>
                <w:i/>
                <w:szCs w:val="20"/>
                <w:lang w:bidi="x-none"/>
              </w:rPr>
              <w:t>DN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  <w:r>
              <w:rPr>
                <w:szCs w:val="20"/>
                <w:lang w:bidi="x-none"/>
              </w:rPr>
              <w:t xml:space="preserve"> x N</w:t>
            </w:r>
            <w:r w:rsidRPr="00E515CF">
              <w:rPr>
                <w:szCs w:val="20"/>
                <w:vertAlign w:val="subscript"/>
                <w:lang w:bidi="x-none"/>
              </w:rPr>
              <w:t>SCA</w:t>
            </w:r>
            <w:r>
              <w:rPr>
                <w:szCs w:val="20"/>
                <w:vertAlign w:val="subscript"/>
                <w:lang w:bidi="x-none"/>
              </w:rPr>
              <w:t>s</w:t>
            </w:r>
            <w:r>
              <w:rPr>
                <w:szCs w:val="20"/>
                <w:lang w:bidi="x-none"/>
              </w:rPr>
              <w:t xml:space="preserve"> x </w:t>
            </w: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d</w:t>
            </w:r>
            <w:r w:rsidRPr="00E515CF">
              <w:rPr>
                <w:szCs w:val="20"/>
                <w:vertAlign w:val="subscript"/>
                <w:lang w:bidi="x-none"/>
              </w:rPr>
              <w:t>et</w:t>
            </w:r>
            <w:r>
              <w:rPr>
                <w:szCs w:val="20"/>
                <w:vertAlign w:val="subscript"/>
                <w:lang w:bidi="x-none"/>
              </w:rPr>
              <w:t>ectors</w:t>
            </w:r>
            <w:proofErr w:type="spellEnd"/>
            <w:r w:rsidRPr="004237DA">
              <w:rPr>
                <w:szCs w:val="20"/>
                <w:lang w:bidi="x-none"/>
              </w:rPr>
              <w:t xml:space="preserve"> x </w:t>
            </w:r>
            <w:proofErr w:type="spellStart"/>
            <w:r w:rsidRPr="004237DA"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frames</w:t>
            </w:r>
            <w:proofErr w:type="spellEnd"/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Ui</w:t>
            </w:r>
            <w:r w:rsidRPr="009C5918">
              <w:rPr>
                <w:szCs w:val="20"/>
                <w:lang w:bidi="x-none"/>
              </w:rPr>
              <w:t>nt</w:t>
            </w:r>
            <w:proofErr w:type="spellEnd"/>
            <w:r w:rsidRPr="009C5918">
              <w:rPr>
                <w:szCs w:val="20"/>
                <w:lang w:bidi="x-none"/>
              </w:rPr>
              <w:t xml:space="preserve"> (16-bit)</w:t>
            </w:r>
          </w:p>
        </w:tc>
      </w:tr>
      <w:tr w:rsidR="00DE451F" w:rsidRPr="009C5918" w:rsidTr="00132F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3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Radiance multiplicative scaling 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51F" w:rsidRPr="00391136" w:rsidRDefault="00DE451F" w:rsidP="00132F6D">
            <w:pPr>
              <w:rPr>
                <w:i/>
                <w:szCs w:val="20"/>
                <w:lang w:bidi="x-none"/>
              </w:rPr>
            </w:pPr>
            <w:r>
              <w:rPr>
                <w:i/>
                <w:szCs w:val="20"/>
                <w:lang w:bidi="x-none"/>
              </w:rPr>
              <w:t>M</w:t>
            </w:r>
            <w:r>
              <w:rPr>
                <w:i/>
                <w:szCs w:val="20"/>
                <w:vertAlign w:val="subscript"/>
                <w:lang w:bidi="x-none"/>
              </w:rPr>
              <w:t>L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36372C">
              <w:rPr>
                <w:position w:val="-18"/>
              </w:rPr>
              <w:object w:dxaOrig="1660" w:dyaOrig="859">
                <v:shape id="_x0000_i1031" type="#_x0000_t75" style="width:54pt;height:28.5pt" o:ole="">
                  <v:imagedata r:id="rId8" o:title=""/>
                </v:shape>
                <o:OLEObject Type="Embed" ProgID="Equation.3" ShapeID="_x0000_i1031" DrawAspect="Content" ObjectID="_1550571834" r:id="rId13"/>
              </w:objec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>
              <w:rPr>
                <w:lang w:bidi="x-none"/>
              </w:rPr>
              <w:t>Metadata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float</w:t>
            </w:r>
          </w:p>
        </w:tc>
      </w:tr>
      <w:tr w:rsidR="00DE451F" w:rsidRPr="009C5918" w:rsidTr="00132F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32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ind w:left="265"/>
              <w:rPr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Radiance additive scaling factor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451F" w:rsidRPr="00391136" w:rsidRDefault="00DE451F" w:rsidP="00132F6D">
            <w:pPr>
              <w:rPr>
                <w:i/>
                <w:szCs w:val="20"/>
                <w:lang w:bidi="x-none"/>
              </w:rPr>
            </w:pPr>
            <w:r>
              <w:rPr>
                <w:szCs w:val="20"/>
                <w:lang w:bidi="x-none"/>
              </w:rPr>
              <w:t>A</w:t>
            </w:r>
            <w:r>
              <w:rPr>
                <w:i/>
                <w:szCs w:val="20"/>
                <w:vertAlign w:val="subscript"/>
                <w:lang w:bidi="x-none"/>
              </w:rPr>
              <w:t>L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51F" w:rsidRPr="00EA54C7" w:rsidRDefault="00DE451F" w:rsidP="00132F6D">
            <w:pPr>
              <w:rPr>
                <w:i/>
                <w:szCs w:val="20"/>
                <w:lang w:bidi="x-none"/>
              </w:rPr>
            </w:pPr>
            <w:r w:rsidRPr="00E902A2">
              <w:object w:dxaOrig="1200" w:dyaOrig="680">
                <v:shape id="_x0000_i1032" type="#_x0000_t75" style="width:53.25pt;height:30pt" o:ole="">
                  <v:imagedata r:id="rId5" o:title=""/>
                </v:shape>
                <o:OLEObject Type="Embed" ProgID="Equation.3" ShapeID="_x0000_i1032" DrawAspect="Content" ObjectID="_1550571835" r:id="rId14"/>
              </w:objec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proofErr w:type="spellStart"/>
            <w:r>
              <w:rPr>
                <w:szCs w:val="20"/>
                <w:lang w:bidi="x-none"/>
              </w:rPr>
              <w:t>N</w:t>
            </w:r>
            <w:r>
              <w:rPr>
                <w:szCs w:val="20"/>
                <w:vertAlign w:val="subscript"/>
                <w:lang w:bidi="x-none"/>
              </w:rPr>
              <w:t>b</w:t>
            </w:r>
            <w:r w:rsidRPr="00E515CF">
              <w:rPr>
                <w:szCs w:val="20"/>
                <w:vertAlign w:val="subscript"/>
                <w:lang w:bidi="x-none"/>
              </w:rPr>
              <w:t>and</w:t>
            </w:r>
            <w:r>
              <w:rPr>
                <w:szCs w:val="20"/>
                <w:vertAlign w:val="subscript"/>
                <w:lang w:bidi="x-none"/>
              </w:rPr>
              <w:t>s</w:t>
            </w:r>
            <w:proofErr w:type="spellEnd"/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>
              <w:rPr>
                <w:lang w:bidi="x-none"/>
              </w:rPr>
              <w:t>Metadata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bottom"/>
          </w:tcPr>
          <w:p w:rsidR="00DE451F" w:rsidRDefault="00DE451F" w:rsidP="00132F6D">
            <w:pPr>
              <w:rPr>
                <w:szCs w:val="20"/>
                <w:lang w:bidi="x-none"/>
              </w:rPr>
            </w:pPr>
            <w:r w:rsidRPr="009C5918">
              <w:rPr>
                <w:szCs w:val="20"/>
                <w:lang w:bidi="x-none"/>
              </w:rPr>
              <w:t>float</w:t>
            </w:r>
          </w:p>
        </w:tc>
      </w:tr>
    </w:tbl>
    <w:p w:rsidR="00DE451F" w:rsidRDefault="00DE451F" w:rsidP="00DE451F">
      <w:pPr>
        <w:pStyle w:val="Heading4"/>
      </w:pPr>
      <w:r>
        <w:t>Options</w:t>
      </w:r>
    </w:p>
    <w:p w:rsidR="00DE451F" w:rsidRPr="000616ED" w:rsidRDefault="00DE451F" w:rsidP="00DE451F"/>
    <w:p w:rsidR="00DE451F" w:rsidRDefault="00DE451F" w:rsidP="00DE451F">
      <w:pPr>
        <w:pStyle w:val="Heading4"/>
      </w:pPr>
      <w:r>
        <w:t>Procedure</w:t>
      </w:r>
    </w:p>
    <w:p w:rsidR="00DE451F" w:rsidRDefault="00DE451F" w:rsidP="00DE451F">
      <w:pPr>
        <w:numPr>
          <w:ilvl w:val="0"/>
          <w:numId w:val="1"/>
        </w:numPr>
      </w:pPr>
      <w:r>
        <w:t>For each band, apply scaling to each image pixel, except to fill data, of geometrically corrected (L1G) floating point OLI reflectance and TIRS radiance images:</w:t>
      </w:r>
    </w:p>
    <w:p w:rsidR="00DE451F" w:rsidRDefault="00DE451F" w:rsidP="00DE451F">
      <w:pPr>
        <w:ind w:left="360"/>
      </w:pPr>
    </w:p>
    <w:p w:rsidR="00DE451F" w:rsidRDefault="00DE451F" w:rsidP="00DE451F">
      <w:pPr>
        <w:numPr>
          <w:ilvl w:val="1"/>
          <w:numId w:val="1"/>
        </w:numPr>
      </w:pPr>
      <w:r>
        <w:t>For OLI</w:t>
      </w:r>
    </w:p>
    <w:p w:rsidR="00DE451F" w:rsidRDefault="00DE451F" w:rsidP="00DE451F"/>
    <w:p w:rsidR="00DE451F" w:rsidRDefault="00DE451F" w:rsidP="00DE451F">
      <w:pPr>
        <w:jc w:val="center"/>
      </w:pPr>
      <w:r w:rsidRPr="00252583">
        <w:rPr>
          <w:position w:val="-32"/>
        </w:rPr>
        <w:object w:dxaOrig="1460" w:dyaOrig="740">
          <v:shape id="_x0000_i1033" type="#_x0000_t75" style="width:72.75pt;height:36.75pt" o:ole="">
            <v:imagedata r:id="rId15" o:title=""/>
          </v:shape>
          <o:OLEObject Type="Embed" ProgID="Equation.3" ShapeID="_x0000_i1033" DrawAspect="Content" ObjectID="_1550571836" r:id="rId16"/>
        </w:object>
      </w:r>
    </w:p>
    <w:p w:rsidR="00DE451F" w:rsidRDefault="00DE451F" w:rsidP="00DE451F">
      <w:pPr>
        <w:jc w:val="center"/>
      </w:pPr>
    </w:p>
    <w:p w:rsidR="00DE451F" w:rsidRDefault="00DE451F" w:rsidP="00DE451F">
      <w:pPr>
        <w:numPr>
          <w:ilvl w:val="1"/>
          <w:numId w:val="1"/>
        </w:numPr>
      </w:pPr>
      <w:r>
        <w:t>For TIRS</w:t>
      </w:r>
    </w:p>
    <w:p w:rsidR="00DE451F" w:rsidRDefault="00DE451F" w:rsidP="00DE451F"/>
    <w:p w:rsidR="00DE451F" w:rsidRDefault="00DE451F" w:rsidP="00DE451F">
      <w:pPr>
        <w:jc w:val="center"/>
      </w:pPr>
      <w:r w:rsidRPr="00252583">
        <w:rPr>
          <w:position w:val="-30"/>
        </w:rPr>
        <w:object w:dxaOrig="1420" w:dyaOrig="700">
          <v:shape id="_x0000_i1034" type="#_x0000_t75" style="width:71.25pt;height:35.25pt" o:ole="">
            <v:imagedata r:id="rId17" o:title=""/>
          </v:shape>
          <o:OLEObject Type="Embed" ProgID="Equation.3" ShapeID="_x0000_i1034" DrawAspect="Content" ObjectID="_1550571837" r:id="rId18"/>
        </w:object>
      </w:r>
    </w:p>
    <w:p w:rsidR="00DE451F" w:rsidRDefault="00DE451F" w:rsidP="00DE451F"/>
    <w:p w:rsidR="00DE451F" w:rsidRDefault="00DE451F" w:rsidP="00DE451F">
      <w:pPr>
        <w:numPr>
          <w:ilvl w:val="0"/>
          <w:numId w:val="1"/>
        </w:numPr>
      </w:pPr>
      <w:r>
        <w:t>Convert scaled OLI reflectance (</w:t>
      </w:r>
      <w:proofErr w:type="spellStart"/>
      <w:r w:rsidRPr="00A660F7">
        <w:rPr>
          <w:i/>
        </w:rPr>
        <w:t>ρ</w:t>
      </w:r>
      <w:r w:rsidRPr="00A660F7">
        <w:rPr>
          <w:i/>
          <w:vertAlign w:val="subscript"/>
        </w:rPr>
        <w:t>scal</w:t>
      </w:r>
      <w:proofErr w:type="spellEnd"/>
      <w:r>
        <w:t>), TIRS radiance (</w:t>
      </w:r>
      <w:proofErr w:type="spellStart"/>
      <w:r>
        <w:rPr>
          <w:i/>
        </w:rPr>
        <w:t>L</w:t>
      </w:r>
      <w:r w:rsidRPr="00A660F7">
        <w:rPr>
          <w:i/>
          <w:vertAlign w:val="subscript"/>
        </w:rPr>
        <w:t>scal</w:t>
      </w:r>
      <w:proofErr w:type="spellEnd"/>
      <w:r>
        <w:t>) and fill data pixel values from floating point to 16-bit integer format through rounding to the closest 16-bit integer values</w:t>
      </w:r>
    </w:p>
    <w:p w:rsidR="00DE451F" w:rsidRDefault="00DE451F" w:rsidP="00DE451F">
      <w:pPr>
        <w:ind w:left="360"/>
      </w:pPr>
    </w:p>
    <w:p w:rsidR="00DE451F" w:rsidRDefault="00DE451F" w:rsidP="00DE451F">
      <w:pPr>
        <w:numPr>
          <w:ilvl w:val="1"/>
          <w:numId w:val="1"/>
        </w:numPr>
      </w:pPr>
      <w:r>
        <w:lastRenderedPageBreak/>
        <w:t>For OLI</w:t>
      </w:r>
    </w:p>
    <w:p w:rsidR="00DE451F" w:rsidRDefault="00DE451F" w:rsidP="00DE451F"/>
    <w:p w:rsidR="00DE451F" w:rsidRDefault="00DE451F" w:rsidP="00DE451F">
      <w:pPr>
        <w:jc w:val="center"/>
      </w:pPr>
      <w:r w:rsidRPr="00A660F7">
        <w:rPr>
          <w:position w:val="-12"/>
        </w:rPr>
        <w:object w:dxaOrig="1840" w:dyaOrig="360">
          <v:shape id="_x0000_i1035" type="#_x0000_t75" style="width:92.25pt;height:18pt" o:ole="">
            <v:imagedata r:id="rId19" o:title=""/>
          </v:shape>
          <o:OLEObject Type="Embed" ProgID="Equation.3" ShapeID="_x0000_i1035" DrawAspect="Content" ObjectID="_1550571838" r:id="rId20"/>
        </w:object>
      </w:r>
    </w:p>
    <w:p w:rsidR="00DE451F" w:rsidRDefault="00DE451F" w:rsidP="00DE451F">
      <w:pPr>
        <w:jc w:val="center"/>
      </w:pPr>
    </w:p>
    <w:p w:rsidR="00DE451F" w:rsidRDefault="00DE451F" w:rsidP="00DE451F">
      <w:pPr>
        <w:numPr>
          <w:ilvl w:val="1"/>
          <w:numId w:val="1"/>
        </w:numPr>
      </w:pPr>
      <w:r>
        <w:t>For TIRS</w:t>
      </w:r>
    </w:p>
    <w:p w:rsidR="00DE451F" w:rsidRDefault="00DE451F" w:rsidP="00DE451F"/>
    <w:p w:rsidR="00DE451F" w:rsidRDefault="00DE451F" w:rsidP="00DE451F">
      <w:pPr>
        <w:jc w:val="center"/>
      </w:pPr>
      <w:r w:rsidRPr="00A660F7">
        <w:rPr>
          <w:position w:val="-12"/>
        </w:rPr>
        <w:object w:dxaOrig="1820" w:dyaOrig="360">
          <v:shape id="_x0000_i1036" type="#_x0000_t75" style="width:90.75pt;height:18pt" o:ole="">
            <v:imagedata r:id="rId21" o:title=""/>
          </v:shape>
          <o:OLEObject Type="Embed" ProgID="Equation.3" ShapeID="_x0000_i1036" DrawAspect="Content" ObjectID="_1550571839" r:id="rId22"/>
        </w:object>
      </w:r>
    </w:p>
    <w:p w:rsidR="00DE451F" w:rsidRDefault="00DE451F" w:rsidP="00DE451F"/>
    <w:p w:rsidR="00DE451F" w:rsidRDefault="00DE451F" w:rsidP="00DE451F">
      <w:pPr>
        <w:numPr>
          <w:ilvl w:val="0"/>
          <w:numId w:val="1"/>
        </w:numPr>
      </w:pPr>
      <w:r>
        <w:t xml:space="preserve">Under the assumption that 0 will be reserved for fill data, convert all zeros in </w:t>
      </w:r>
      <w:proofErr w:type="spellStart"/>
      <w:r w:rsidRPr="00A660F7">
        <w:rPr>
          <w:i/>
        </w:rPr>
        <w:t>ρ</w:t>
      </w:r>
      <w:r>
        <w:rPr>
          <w:i/>
          <w:vertAlign w:val="subscript"/>
        </w:rPr>
        <w:t>int</w:t>
      </w:r>
      <w:proofErr w:type="spellEnd"/>
      <w:r>
        <w:t xml:space="preserve"> and </w:t>
      </w:r>
      <w:r w:rsidRPr="004136CC">
        <w:rPr>
          <w:i/>
        </w:rPr>
        <w:t>L</w:t>
      </w:r>
      <w:r w:rsidRPr="004136CC">
        <w:rPr>
          <w:i/>
          <w:vertAlign w:val="subscript"/>
        </w:rPr>
        <w:t>int</w:t>
      </w:r>
      <w:r>
        <w:t xml:space="preserve"> images to </w:t>
      </w:r>
      <w:proofErr w:type="spellStart"/>
      <w:r w:rsidRPr="004136CC">
        <w:rPr>
          <w:i/>
        </w:rPr>
        <w:t>Q</w:t>
      </w:r>
      <w:r w:rsidRPr="004136CC">
        <w:rPr>
          <w:i/>
          <w:vertAlign w:val="subscript"/>
        </w:rPr>
        <w:t>calmin</w:t>
      </w:r>
      <w:proofErr w:type="spellEnd"/>
      <w:r>
        <w:t xml:space="preserve"> = 1. More generally, convert all pixels with value less than </w:t>
      </w:r>
      <w:proofErr w:type="spellStart"/>
      <w:r w:rsidRPr="004136CC">
        <w:rPr>
          <w:i/>
        </w:rPr>
        <w:t>Q</w:t>
      </w:r>
      <w:r w:rsidRPr="004136CC">
        <w:rPr>
          <w:i/>
          <w:vertAlign w:val="subscript"/>
        </w:rPr>
        <w:t>calmin</w:t>
      </w:r>
      <w:proofErr w:type="spellEnd"/>
      <w:r>
        <w:t xml:space="preserve"> to </w:t>
      </w:r>
      <w:proofErr w:type="spellStart"/>
      <w:r w:rsidRPr="004136CC">
        <w:rPr>
          <w:i/>
        </w:rPr>
        <w:t>Q</w:t>
      </w:r>
      <w:r w:rsidRPr="004136CC">
        <w:rPr>
          <w:i/>
          <w:vertAlign w:val="subscript"/>
        </w:rPr>
        <w:t>calmin</w:t>
      </w:r>
      <w:proofErr w:type="spellEnd"/>
      <w:r>
        <w:t>.</w:t>
      </w:r>
    </w:p>
    <w:p w:rsidR="00DE451F" w:rsidRDefault="00DE451F" w:rsidP="00DE451F">
      <w:pPr>
        <w:ind w:left="360"/>
      </w:pPr>
    </w:p>
    <w:p w:rsidR="00DE451F" w:rsidRDefault="00DE451F" w:rsidP="00DE451F">
      <w:pPr>
        <w:numPr>
          <w:ilvl w:val="0"/>
          <w:numId w:val="1"/>
        </w:numPr>
      </w:pPr>
      <w:r>
        <w:t>Only for OLI, calculate rescaling coefficients that will be used for direct conversion from 16-bit integer reflectance to floating point radiance</w:t>
      </w:r>
    </w:p>
    <w:p w:rsidR="00DE451F" w:rsidRDefault="00DE451F" w:rsidP="00DE451F">
      <w:pPr>
        <w:ind w:left="360"/>
      </w:pPr>
    </w:p>
    <w:p w:rsidR="00DE451F" w:rsidRDefault="00DE451F" w:rsidP="00DE451F">
      <w:pPr>
        <w:ind w:left="360"/>
        <w:jc w:val="center"/>
      </w:pPr>
      <w:r w:rsidRPr="000A216E">
        <w:rPr>
          <w:position w:val="-32"/>
        </w:rPr>
        <w:object w:dxaOrig="1440" w:dyaOrig="760">
          <v:shape id="_x0000_i1037" type="#_x0000_t75" style="width:1in;height:38.25pt" o:ole="">
            <v:imagedata r:id="rId23" o:title=""/>
          </v:shape>
          <o:OLEObject Type="Embed" ProgID="Equation.3" ShapeID="_x0000_i1037" DrawAspect="Content" ObjectID="_1550571840" r:id="rId24"/>
        </w:object>
      </w:r>
    </w:p>
    <w:p w:rsidR="00DE451F" w:rsidRDefault="00DE451F" w:rsidP="00DE451F">
      <w:pPr>
        <w:ind w:left="360"/>
      </w:pPr>
    </w:p>
    <w:p w:rsidR="00DE451F" w:rsidRDefault="00DE451F" w:rsidP="00DE451F">
      <w:pPr>
        <w:numPr>
          <w:ilvl w:val="0"/>
          <w:numId w:val="1"/>
        </w:numPr>
      </w:pPr>
      <w:r>
        <w:t>Write the following rescaling parameters to the product metadata</w:t>
      </w:r>
    </w:p>
    <w:p w:rsidR="00DE451F" w:rsidRDefault="00DE451F" w:rsidP="00DE451F">
      <w:pPr>
        <w:ind w:left="360"/>
      </w:pPr>
    </w:p>
    <w:p w:rsidR="00DE451F" w:rsidRDefault="00DE451F" w:rsidP="00DE451F">
      <w:pPr>
        <w:numPr>
          <w:ilvl w:val="1"/>
          <w:numId w:val="1"/>
        </w:numPr>
      </w:pPr>
      <w:r>
        <w:t>For OLI:</w:t>
      </w:r>
    </w:p>
    <w:p w:rsidR="00DE451F" w:rsidRDefault="00DE451F" w:rsidP="00DE451F">
      <w:pPr>
        <w:numPr>
          <w:ilvl w:val="2"/>
          <w:numId w:val="1"/>
        </w:numPr>
      </w:pPr>
      <w:r>
        <w:t xml:space="preserve">Reflectance </w:t>
      </w:r>
      <w:r>
        <w:rPr>
          <w:szCs w:val="20"/>
          <w:lang w:bidi="x-none"/>
        </w:rPr>
        <w:t>multiplicative scaling factor</w:t>
      </w:r>
      <w:r>
        <w:t xml:space="preserve">, </w:t>
      </w:r>
      <w:proofErr w:type="spellStart"/>
      <w:r>
        <w:rPr>
          <w:i/>
          <w:szCs w:val="20"/>
          <w:lang w:bidi="x-none"/>
        </w:rPr>
        <w:t>M</w:t>
      </w:r>
      <w:r>
        <w:rPr>
          <w:i/>
          <w:szCs w:val="20"/>
          <w:vertAlign w:val="subscript"/>
          <w:lang w:bidi="x-none"/>
        </w:rPr>
        <w:t>ρ</w:t>
      </w:r>
      <w:proofErr w:type="spellEnd"/>
    </w:p>
    <w:p w:rsidR="00DE451F" w:rsidRDefault="00DE451F" w:rsidP="00DE451F">
      <w:pPr>
        <w:numPr>
          <w:ilvl w:val="2"/>
          <w:numId w:val="1"/>
        </w:numPr>
      </w:pPr>
      <w:r>
        <w:t xml:space="preserve">Reflectance </w:t>
      </w:r>
      <w:r>
        <w:rPr>
          <w:szCs w:val="20"/>
          <w:lang w:bidi="x-none"/>
        </w:rPr>
        <w:t>additive scaling factor</w:t>
      </w:r>
      <w:r>
        <w:t xml:space="preserve">, </w:t>
      </w:r>
      <w:proofErr w:type="spellStart"/>
      <w:r>
        <w:rPr>
          <w:i/>
        </w:rPr>
        <w:t>A</w:t>
      </w:r>
      <w:r>
        <w:rPr>
          <w:i/>
          <w:vertAlign w:val="subscript"/>
        </w:rPr>
        <w:t>ρ</w:t>
      </w:r>
      <w:proofErr w:type="spellEnd"/>
      <w:r>
        <w:t xml:space="preserve"> </w:t>
      </w:r>
    </w:p>
    <w:p w:rsidR="00DE451F" w:rsidRDefault="00DE451F" w:rsidP="00DE451F">
      <w:pPr>
        <w:numPr>
          <w:ilvl w:val="2"/>
          <w:numId w:val="1"/>
        </w:numPr>
      </w:pPr>
      <w:r>
        <w:t xml:space="preserve">Radiance </w:t>
      </w:r>
      <w:r>
        <w:rPr>
          <w:szCs w:val="20"/>
          <w:lang w:bidi="x-none"/>
        </w:rPr>
        <w:t>multiplicative scaling factor</w:t>
      </w:r>
      <w:r>
        <w:t xml:space="preserve">, </w:t>
      </w:r>
      <w:r>
        <w:rPr>
          <w:i/>
          <w:szCs w:val="20"/>
          <w:lang w:bidi="x-none"/>
        </w:rPr>
        <w:t>M</w:t>
      </w:r>
      <w:r>
        <w:rPr>
          <w:i/>
          <w:szCs w:val="20"/>
          <w:vertAlign w:val="subscript"/>
          <w:lang w:bidi="x-none"/>
        </w:rPr>
        <w:t>L</w:t>
      </w:r>
      <w:r>
        <w:t xml:space="preserve"> </w:t>
      </w:r>
    </w:p>
    <w:p w:rsidR="00DE451F" w:rsidRPr="00B05346" w:rsidRDefault="00DE451F" w:rsidP="00DE451F">
      <w:pPr>
        <w:numPr>
          <w:ilvl w:val="2"/>
          <w:numId w:val="1"/>
        </w:numPr>
      </w:pPr>
      <w:r>
        <w:t xml:space="preserve">Radiance </w:t>
      </w:r>
      <w:r>
        <w:rPr>
          <w:szCs w:val="20"/>
          <w:lang w:bidi="x-none"/>
        </w:rPr>
        <w:t>additive scaling factor</w:t>
      </w:r>
      <w:r>
        <w:t xml:space="preserve">, </w:t>
      </w:r>
      <w:r>
        <w:rPr>
          <w:i/>
        </w:rPr>
        <w:t>A</w:t>
      </w:r>
      <w:r>
        <w:rPr>
          <w:i/>
          <w:vertAlign w:val="subscript"/>
        </w:rPr>
        <w:t>L</w:t>
      </w:r>
    </w:p>
    <w:p w:rsidR="00DE451F" w:rsidRPr="00B05346" w:rsidRDefault="00DE451F" w:rsidP="00DE451F"/>
    <w:p w:rsidR="00DE451F" w:rsidRDefault="00DE451F" w:rsidP="00DE451F">
      <w:pPr>
        <w:numPr>
          <w:ilvl w:val="1"/>
          <w:numId w:val="1"/>
        </w:numPr>
      </w:pPr>
      <w:r>
        <w:t>For TIRS:</w:t>
      </w:r>
    </w:p>
    <w:p w:rsidR="00DE451F" w:rsidRDefault="00DE451F" w:rsidP="00DE451F">
      <w:pPr>
        <w:numPr>
          <w:ilvl w:val="2"/>
          <w:numId w:val="1"/>
        </w:numPr>
      </w:pPr>
      <w:r>
        <w:t xml:space="preserve">Radiance </w:t>
      </w:r>
      <w:r>
        <w:rPr>
          <w:szCs w:val="20"/>
          <w:lang w:bidi="x-none"/>
        </w:rPr>
        <w:t>multiplicative scaling factor</w:t>
      </w:r>
      <w:r>
        <w:t xml:space="preserve">, </w:t>
      </w:r>
      <w:r>
        <w:rPr>
          <w:i/>
          <w:szCs w:val="20"/>
          <w:lang w:bidi="x-none"/>
        </w:rPr>
        <w:t>M</w:t>
      </w:r>
      <w:r>
        <w:rPr>
          <w:i/>
          <w:szCs w:val="20"/>
          <w:vertAlign w:val="subscript"/>
          <w:lang w:bidi="x-none"/>
        </w:rPr>
        <w:t>L</w:t>
      </w:r>
      <w:r>
        <w:t xml:space="preserve"> </w:t>
      </w:r>
    </w:p>
    <w:p w:rsidR="00DE451F" w:rsidRPr="009E508F" w:rsidRDefault="00DE451F" w:rsidP="00DE451F">
      <w:pPr>
        <w:numPr>
          <w:ilvl w:val="2"/>
          <w:numId w:val="1"/>
        </w:numPr>
      </w:pPr>
      <w:r>
        <w:t xml:space="preserve">Radiance </w:t>
      </w:r>
      <w:r>
        <w:rPr>
          <w:szCs w:val="20"/>
          <w:lang w:bidi="x-none"/>
        </w:rPr>
        <w:t>additive scaling factor</w:t>
      </w:r>
      <w:r>
        <w:t xml:space="preserve">, </w:t>
      </w:r>
      <w:r>
        <w:rPr>
          <w:i/>
        </w:rPr>
        <w:t>A</w:t>
      </w:r>
      <w:r>
        <w:rPr>
          <w:i/>
          <w:vertAlign w:val="subscript"/>
        </w:rPr>
        <w:t>L</w:t>
      </w:r>
    </w:p>
    <w:p w:rsidR="00DE451F" w:rsidRPr="009E508F" w:rsidRDefault="00DE451F" w:rsidP="00DE451F"/>
    <w:p w:rsidR="00000AB9" w:rsidRDefault="00000AB9">
      <w:bookmarkStart w:id="1" w:name="_GoBack"/>
      <w:bookmarkEnd w:id="1"/>
    </w:p>
    <w:sectPr w:rsidR="0000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1FD3"/>
    <w:multiLevelType w:val="multilevel"/>
    <w:tmpl w:val="062C2BDC"/>
    <w:lvl w:ilvl="0">
      <w:start w:val="1"/>
      <w:numFmt w:val="decimal"/>
      <w:pStyle w:val="Heading1"/>
      <w:lvlText w:val="Section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1" w15:restartNumberingAfterBreak="0">
    <w:nsid w:val="5B2F66E8"/>
    <w:multiLevelType w:val="hybridMultilevel"/>
    <w:tmpl w:val="FB361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F"/>
    <w:rsid w:val="00000AB9"/>
    <w:rsid w:val="00D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46BEF-B594-431E-8433-F42CCFC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51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451F"/>
    <w:pPr>
      <w:keepNext/>
      <w:numPr>
        <w:numId w:val="2"/>
      </w:numPr>
      <w:pBdr>
        <w:bottom w:val="single" w:sz="12" w:space="1" w:color="auto"/>
      </w:pBdr>
      <w:tabs>
        <w:tab w:val="clear" w:pos="1440"/>
        <w:tab w:val="left" w:pos="1800"/>
      </w:tabs>
      <w:spacing w:after="240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E451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E451F"/>
    <w:pPr>
      <w:keepNext/>
      <w:numPr>
        <w:ilvl w:val="2"/>
        <w:numId w:val="2"/>
      </w:numPr>
      <w:spacing w:before="24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DE451F"/>
    <w:pPr>
      <w:keepNext/>
      <w:numPr>
        <w:ilvl w:val="3"/>
        <w:numId w:val="2"/>
      </w:numPr>
      <w:spacing w:before="240" w:after="60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DE451F"/>
    <w:pPr>
      <w:keepNext/>
      <w:numPr>
        <w:ilvl w:val="4"/>
        <w:numId w:val="2"/>
      </w:numPr>
      <w:spacing w:before="240" w:after="60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DE451F"/>
    <w:pPr>
      <w:keepNext/>
      <w:numPr>
        <w:ilvl w:val="5"/>
        <w:numId w:val="2"/>
      </w:numPr>
      <w:spacing w:before="240" w:after="6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DE451F"/>
    <w:pPr>
      <w:keepNext/>
      <w:numPr>
        <w:ilvl w:val="6"/>
        <w:numId w:val="2"/>
      </w:numPr>
      <w:spacing w:before="240" w:after="6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DE451F"/>
    <w:pPr>
      <w:keepNext/>
      <w:numPr>
        <w:ilvl w:val="7"/>
        <w:numId w:val="2"/>
      </w:numPr>
      <w:spacing w:before="240" w:after="60"/>
      <w:outlineLvl w:val="7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DE451F"/>
    <w:pPr>
      <w:keepNext/>
      <w:numPr>
        <w:ilvl w:val="8"/>
        <w:numId w:val="2"/>
      </w:numPr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51F"/>
    <w:rPr>
      <w:rFonts w:ascii="Arial" w:eastAsia="Times New Roman" w:hAnsi="Arial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E451F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E451F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E451F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451F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451F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451F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E451F"/>
    <w:rPr>
      <w:rFonts w:ascii="Arial" w:eastAsia="Times New Roman" w:hAnsi="Arial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E451F"/>
    <w:rPr>
      <w:rFonts w:ascii="Arial" w:eastAsia="Times New Roman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10" Type="http://schemas.openxmlformats.org/officeDocument/2006/relationships/oleObject" Target="embeddings/oleObject4.bin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Company>USGS EROS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(CTR), Cody H</dc:creator>
  <cp:keywords/>
  <dc:description/>
  <cp:lastModifiedBy>Anderson (CTR), Cody H</cp:lastModifiedBy>
  <cp:revision>1</cp:revision>
  <dcterms:created xsi:type="dcterms:W3CDTF">2017-03-09T18:02:00Z</dcterms:created>
  <dcterms:modified xsi:type="dcterms:W3CDTF">2017-03-09T18:02:00Z</dcterms:modified>
</cp:coreProperties>
</file>