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97" w:rsidRPr="00361AAC" w:rsidRDefault="00985797" w:rsidP="00985797">
      <w:pPr>
        <w:pStyle w:val="Heading3"/>
        <w:rPr>
          <w:rFonts w:cs="Arial"/>
        </w:rPr>
      </w:pPr>
      <w:bookmarkStart w:id="0" w:name="_Toc476818633"/>
      <w:r w:rsidRPr="00361AAC">
        <w:rPr>
          <w:rFonts w:cs="Arial"/>
        </w:rPr>
        <w:t>Relative Gain Characterization (Histogram Method)</w:t>
      </w:r>
      <w:bookmarkEnd w:id="0"/>
    </w:p>
    <w:p w:rsidR="00985797" w:rsidRPr="00361AAC" w:rsidRDefault="00985797" w:rsidP="00985797">
      <w:pPr>
        <w:pStyle w:val="Heading4"/>
        <w:rPr>
          <w:rFonts w:cs="Arial"/>
        </w:rPr>
      </w:pPr>
      <w:bookmarkStart w:id="1" w:name="_Toc340837745"/>
      <w:bookmarkStart w:id="2" w:name="_Toc345687997"/>
      <w:r w:rsidRPr="00361AAC">
        <w:rPr>
          <w:rFonts w:cs="Arial"/>
        </w:rPr>
        <w:t>Background</w:t>
      </w:r>
      <w:bookmarkEnd w:id="1"/>
      <w:bookmarkEnd w:id="2"/>
    </w:p>
    <w:p w:rsidR="00985797" w:rsidRPr="00361AAC" w:rsidRDefault="00985797" w:rsidP="00985797">
      <w:pPr>
        <w:rPr>
          <w:rFonts w:cs="Arial"/>
        </w:rPr>
      </w:pPr>
      <w:r w:rsidRPr="00361AAC">
        <w:rPr>
          <w:rFonts w:cs="Arial"/>
        </w:rPr>
        <w:t>This function calculates the relative gain of a detector for a given band and SCA from the lifetime scene histogram statistics. There are four different algorithms to calculate the relative gain: classical average mean, classical average standard deviation, SMA-1,</w:t>
      </w:r>
      <w:r w:rsidRPr="00361AAC">
        <w:rPr>
          <w:rStyle w:val="CommentReference"/>
          <w:rFonts w:cs="Arial"/>
        </w:rPr>
        <w:t xml:space="preserve"> </w:t>
      </w:r>
      <w:r w:rsidRPr="00361AAC">
        <w:rPr>
          <w:rFonts w:cs="Arial"/>
        </w:rPr>
        <w:t xml:space="preserve">and SMA-2.  </w:t>
      </w:r>
    </w:p>
    <w:p w:rsidR="00985797" w:rsidRPr="00361AAC" w:rsidRDefault="00985797" w:rsidP="00985797">
      <w:pPr>
        <w:rPr>
          <w:rFonts w:cs="Arial"/>
        </w:rPr>
      </w:pPr>
    </w:p>
    <w:p w:rsidR="00985797" w:rsidRPr="00361AAC" w:rsidRDefault="00985797" w:rsidP="00985797">
      <w:pPr>
        <w:rPr>
          <w:rFonts w:cs="Arial"/>
        </w:rPr>
      </w:pPr>
      <w:r w:rsidRPr="00361AAC">
        <w:rPr>
          <w:rFonts w:cs="Arial"/>
        </w:rPr>
        <w:t xml:space="preserve">The relative gains obtained from any method can be applied to the image to correct the striping due to differences in detector response. Some combination of methods may also be used to generate a single set of relative gains. </w:t>
      </w:r>
    </w:p>
    <w:p w:rsidR="00985797" w:rsidRPr="00361AAC" w:rsidRDefault="00985797" w:rsidP="00985797">
      <w:pPr>
        <w:pStyle w:val="Heading4"/>
        <w:rPr>
          <w:rFonts w:cs="Arial"/>
        </w:rPr>
      </w:pPr>
      <w:bookmarkStart w:id="3" w:name="_Toc340837746"/>
      <w:bookmarkStart w:id="4" w:name="_Toc345687998"/>
      <w:r w:rsidRPr="00361AAC">
        <w:rPr>
          <w:rFonts w:cs="Arial"/>
        </w:rPr>
        <w:t>Inputs</w:t>
      </w:r>
      <w:bookmarkEnd w:id="3"/>
      <w:bookmarkEnd w:id="4"/>
      <w:r w:rsidRPr="00361AAC">
        <w:rPr>
          <w:rFonts w:cs="Arial"/>
        </w:rPr>
        <w:t xml:space="preserve"> </w:t>
      </w:r>
      <w:r w:rsidRPr="00361AAC">
        <w:rPr>
          <w:rFonts w:cs="Arial"/>
        </w:rPr>
        <w:tab/>
      </w:r>
    </w:p>
    <w:tbl>
      <w:tblPr>
        <w:tblW w:w="8147" w:type="dxa"/>
        <w:jc w:val="center"/>
        <w:tblLook w:val="0000" w:firstRow="0" w:lastRow="0" w:firstColumn="0" w:lastColumn="0" w:noHBand="0" w:noVBand="0"/>
      </w:tblPr>
      <w:tblGrid>
        <w:gridCol w:w="4160"/>
        <w:gridCol w:w="1620"/>
        <w:gridCol w:w="2367"/>
      </w:tblGrid>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Descriptions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Level</w:t>
            </w:r>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Type</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Histogram Statistics </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Detector Mean, </w:t>
            </w:r>
            <w:r w:rsidRPr="00361AAC">
              <w:rPr>
                <w:rFonts w:cs="Arial"/>
                <w:position w:val="-1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v:imagedata r:id="rId5" o:title=""/>
                </v:shape>
                <o:OLEObject Type="Embed" ProgID="Equation.3" ShapeID="_x0000_i1025" DrawAspect="Content" ObjectID="_1550571524" r:id="rId6"/>
              </w:object>
            </w:r>
          </w:p>
          <w:p w:rsidR="00985797" w:rsidRPr="00361AAC" w:rsidRDefault="00985797" w:rsidP="00132F6D">
            <w:pPr>
              <w:rPr>
                <w:rFonts w:cs="Arial"/>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 w:val="20"/>
              </w:rPr>
            </w:pPr>
            <w:r w:rsidRPr="00361AAC">
              <w:rPr>
                <w:rFonts w:cs="Arial"/>
              </w:rPr>
              <w:t>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i/>
                <w:vertAlign w:val="subscript"/>
              </w:rPr>
            </w:pPr>
            <w:r w:rsidRPr="00361AAC">
              <w:rPr>
                <w:rFonts w:cs="Arial"/>
              </w:rPr>
              <w:t xml:space="preserve">     Detector Standard Deviation, </w:t>
            </w:r>
            <w:proofErr w:type="spellStart"/>
            <w:r w:rsidRPr="00361AAC">
              <w:rPr>
                <w:rFonts w:cs="Arial"/>
                <w:i/>
              </w:rPr>
              <w:t>σ</w:t>
            </w:r>
            <w:r w:rsidRPr="00361AAC">
              <w:rPr>
                <w:rFonts w:cs="Arial"/>
                <w:i/>
                <w:vertAlign w:val="subscript"/>
              </w:rPr>
              <w:t>det</w:t>
            </w:r>
            <w:proofErr w:type="spellEnd"/>
          </w:p>
          <w:p w:rsidR="00985797" w:rsidRPr="00361AAC" w:rsidRDefault="00985797" w:rsidP="00132F6D">
            <w:pPr>
              <w:rPr>
                <w:rFonts w:cs="Arial"/>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 w:val="20"/>
              </w:rPr>
            </w:pPr>
            <w:r w:rsidRPr="00361AAC">
              <w:rPr>
                <w:rFonts w:cs="Arial"/>
              </w:rPr>
              <w:t>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i/>
              </w:rPr>
            </w:pPr>
            <w:r w:rsidRPr="00361AAC">
              <w:rPr>
                <w:rFonts w:cs="Arial"/>
              </w:rPr>
              <w:t xml:space="preserve">     Adjacent Detector Correlation, </w:t>
            </w:r>
            <w:r w:rsidRPr="00361AAC">
              <w:rPr>
                <w:rFonts w:cs="Arial"/>
                <w:i/>
              </w:rPr>
              <w:t>ρ</w:t>
            </w:r>
          </w:p>
          <w:p w:rsidR="00985797" w:rsidRPr="00361AAC" w:rsidRDefault="00985797" w:rsidP="00132F6D">
            <w:pPr>
              <w:rPr>
                <w:rFonts w:cs="Arial"/>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 w:val="20"/>
              </w:rPr>
            </w:pPr>
            <w:r w:rsidRPr="00361AAC">
              <w:rPr>
                <w:rFonts w:cs="Arial"/>
              </w:rPr>
              <w:t>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i/>
                <w:vertAlign w:val="subscript"/>
              </w:rPr>
            </w:pPr>
            <w:r w:rsidRPr="00361AAC">
              <w:rPr>
                <w:rFonts w:cs="Arial"/>
              </w:rPr>
              <w:t xml:space="preserve">     Number of Valid Frames, </w:t>
            </w:r>
            <w:r w:rsidRPr="00361AAC">
              <w:rPr>
                <w:rFonts w:cs="Arial"/>
                <w:i/>
              </w:rPr>
              <w:t>#</w:t>
            </w:r>
            <w:r w:rsidRPr="00361AAC">
              <w:rPr>
                <w:rFonts w:cs="Arial"/>
                <w:i/>
                <w:vertAlign w:val="subscript"/>
              </w:rPr>
              <w:t>frames</w:t>
            </w:r>
          </w:p>
          <w:p w:rsidR="00985797" w:rsidRPr="00361AAC" w:rsidRDefault="00985797" w:rsidP="00132F6D">
            <w:pPr>
              <w:rPr>
                <w:rFonts w:cs="Arial"/>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 w:val="20"/>
              </w:rPr>
            </w:pPr>
            <w:proofErr w:type="spellStart"/>
            <w:r w:rsidRPr="00361AAC">
              <w:rPr>
                <w:rFonts w:cs="Arial"/>
              </w:rPr>
              <w:t>Int</w:t>
            </w:r>
            <w:proofErr w:type="spellEnd"/>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Threshold values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Minimum Mean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r w:rsidRPr="00361AAC">
              <w:rPr>
                <w:rFonts w:cs="Arial"/>
                <w:szCs w:val="20"/>
              </w:rPr>
              <w:t xml:space="preserve">, </w:t>
            </w:r>
            <w:proofErr w:type="spellStart"/>
            <w:r w:rsidRPr="00361AAC">
              <w:rPr>
                <w:rFonts w:cs="Arial"/>
                <w:szCs w:val="20"/>
              </w:rPr>
              <w:t>Nsca</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r w:rsidRPr="00361AAC">
              <w:rPr>
                <w:rFonts w:cs="Arial"/>
                <w:szCs w:val="20"/>
              </w:rPr>
              <w:t xml:space="preserve"> or 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Maximum Mean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r w:rsidRPr="00361AAC">
              <w:rPr>
                <w:rFonts w:cs="Arial"/>
                <w:szCs w:val="20"/>
              </w:rPr>
              <w:t xml:space="preserve">, </w:t>
            </w:r>
            <w:proofErr w:type="spellStart"/>
            <w:r w:rsidRPr="00361AAC">
              <w:rPr>
                <w:rFonts w:cs="Arial"/>
                <w:szCs w:val="20"/>
              </w:rPr>
              <w:t>Nsca</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r w:rsidRPr="00361AAC">
              <w:rPr>
                <w:rFonts w:cs="Arial"/>
                <w:szCs w:val="20"/>
              </w:rPr>
              <w:t xml:space="preserve"> or 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Minimum Standard Deviation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r w:rsidRPr="00361AAC">
              <w:rPr>
                <w:rFonts w:cs="Arial"/>
                <w:szCs w:val="20"/>
              </w:rPr>
              <w:t xml:space="preserve">, </w:t>
            </w:r>
            <w:proofErr w:type="spellStart"/>
            <w:r w:rsidRPr="00361AAC">
              <w:rPr>
                <w:rFonts w:cs="Arial"/>
                <w:szCs w:val="20"/>
              </w:rPr>
              <w:t>Nsca</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r w:rsidRPr="00361AAC">
              <w:rPr>
                <w:rFonts w:cs="Arial"/>
                <w:szCs w:val="20"/>
              </w:rPr>
              <w:t xml:space="preserve"> or 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Maximum Standard Deviation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r w:rsidRPr="00361AAC">
              <w:rPr>
                <w:rFonts w:cs="Arial"/>
                <w:szCs w:val="20"/>
              </w:rPr>
              <w:t xml:space="preserve">, </w:t>
            </w:r>
            <w:proofErr w:type="spellStart"/>
            <w:r w:rsidRPr="00361AAC">
              <w:rPr>
                <w:rFonts w:cs="Arial"/>
                <w:szCs w:val="20"/>
              </w:rPr>
              <w:t>Nsca</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r w:rsidRPr="00361AAC">
              <w:rPr>
                <w:rFonts w:cs="Arial"/>
                <w:szCs w:val="20"/>
              </w:rPr>
              <w:t xml:space="preserve"> or Float</w:t>
            </w:r>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Minimum Number of Frames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r w:rsidRPr="00361AAC">
              <w:rPr>
                <w:rFonts w:cs="Arial"/>
              </w:rPr>
              <w:t xml:space="preserve">     Maximum Number of Frames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Nband</w:t>
            </w:r>
            <w:proofErr w:type="spellEnd"/>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roofErr w:type="spellStart"/>
            <w:r w:rsidRPr="00361AAC">
              <w:rPr>
                <w:rFonts w:cs="Arial"/>
                <w:szCs w:val="20"/>
              </w:rPr>
              <w:t>Int</w:t>
            </w:r>
            <w:proofErr w:type="spellEnd"/>
          </w:p>
        </w:tc>
      </w:tr>
      <w:tr w:rsidR="00985797" w:rsidRPr="00361AAC" w:rsidTr="00132F6D">
        <w:trPr>
          <w:trHeight w:val="225"/>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c>
          <w:tcPr>
            <w:tcW w:w="2367"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bl>
    <w:p w:rsidR="00985797" w:rsidRPr="00361AAC" w:rsidRDefault="00985797" w:rsidP="00985797">
      <w:pPr>
        <w:pStyle w:val="Heading4"/>
        <w:rPr>
          <w:rFonts w:cs="Arial"/>
        </w:rPr>
      </w:pPr>
      <w:bookmarkStart w:id="5" w:name="_Toc340837747"/>
      <w:bookmarkStart w:id="6" w:name="_Toc345687999"/>
      <w:r w:rsidRPr="00361AAC">
        <w:rPr>
          <w:rFonts w:cs="Arial"/>
        </w:rPr>
        <w:t>Outputs</w:t>
      </w:r>
      <w:bookmarkEnd w:id="5"/>
      <w:bookmarkEnd w:id="6"/>
    </w:p>
    <w:tbl>
      <w:tblPr>
        <w:tblW w:w="8170" w:type="dxa"/>
        <w:jc w:val="center"/>
        <w:tblLook w:val="0000" w:firstRow="0" w:lastRow="0" w:firstColumn="0" w:lastColumn="0" w:noHBand="0" w:noVBand="0"/>
      </w:tblPr>
      <w:tblGrid>
        <w:gridCol w:w="4160"/>
        <w:gridCol w:w="1620"/>
        <w:gridCol w:w="2390"/>
      </w:tblGrid>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Descriptions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Level</w:t>
            </w:r>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r w:rsidRPr="00361AAC">
              <w:rPr>
                <w:rFonts w:cs="Arial"/>
                <w:b/>
                <w:szCs w:val="20"/>
              </w:rPr>
              <w:t>Type</w:t>
            </w: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Relative Gain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b/>
                <w:szCs w:val="20"/>
              </w:rPr>
            </w:pPr>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Ratio of Means</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Classical Average</w:t>
            </w:r>
          </w:p>
          <w:p w:rsidR="00985797" w:rsidRPr="00361AAC" w:rsidRDefault="00985797" w:rsidP="00132F6D">
            <w:pPr>
              <w:rPr>
                <w:rFonts w:cs="Arial"/>
                <w:szCs w:val="20"/>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Float</w:t>
            </w:r>
          </w:p>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Ratio of Standard Deviation</w:t>
            </w: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Classical Average</w:t>
            </w:r>
          </w:p>
          <w:p w:rsidR="00985797" w:rsidRPr="00361AAC" w:rsidRDefault="00985797" w:rsidP="00132F6D">
            <w:pPr>
              <w:rPr>
                <w:rFonts w:cs="Arial"/>
                <w:szCs w:val="20"/>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Float</w:t>
            </w:r>
          </w:p>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SMA 1</w:t>
            </w:r>
          </w:p>
          <w:p w:rsidR="00985797" w:rsidRPr="00361AAC" w:rsidRDefault="00985797" w:rsidP="00132F6D">
            <w:pPr>
              <w:rPr>
                <w:rFonts w:cs="Arial"/>
                <w:szCs w:val="20"/>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Float</w:t>
            </w:r>
          </w:p>
          <w:p w:rsidR="00985797" w:rsidRPr="00361AAC" w:rsidRDefault="00985797" w:rsidP="00132F6D">
            <w:pPr>
              <w:rPr>
                <w:rFonts w:cs="Arial"/>
                <w:szCs w:val="20"/>
              </w:rPr>
            </w:pPr>
          </w:p>
        </w:tc>
      </w:tr>
      <w:tr w:rsidR="00985797" w:rsidRPr="00361AAC" w:rsidTr="00132F6D">
        <w:trPr>
          <w:trHeight w:val="280"/>
          <w:jc w:val="center"/>
        </w:trPr>
        <w:tc>
          <w:tcPr>
            <w:tcW w:w="416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 xml:space="preserve">     SMA 2</w:t>
            </w:r>
          </w:p>
          <w:p w:rsidR="00985797" w:rsidRPr="00361AAC" w:rsidRDefault="00985797" w:rsidP="00132F6D">
            <w:pPr>
              <w:rPr>
                <w:rFonts w:cs="Arial"/>
                <w:szCs w:val="20"/>
              </w:rPr>
            </w:pPr>
          </w:p>
        </w:tc>
        <w:tc>
          <w:tcPr>
            <w:tcW w:w="1620" w:type="dxa"/>
            <w:tcBorders>
              <w:top w:val="nil"/>
              <w:left w:val="nil"/>
              <w:bottom w:val="nil"/>
              <w:right w:val="nil"/>
            </w:tcBorders>
            <w:shd w:val="clear" w:color="auto" w:fill="auto"/>
            <w:noWrap/>
            <w:vAlign w:val="bottom"/>
          </w:tcPr>
          <w:p w:rsidR="00985797" w:rsidRPr="00361AAC" w:rsidRDefault="00985797" w:rsidP="00132F6D">
            <w:pPr>
              <w:rPr>
                <w:rFonts w:cs="Arial"/>
              </w:rPr>
            </w:pPr>
            <w:proofErr w:type="spellStart"/>
            <w:r w:rsidRPr="00361AAC">
              <w:rPr>
                <w:rFonts w:cs="Arial"/>
              </w:rPr>
              <w:t>Nband</w:t>
            </w:r>
            <w:proofErr w:type="spellEnd"/>
            <w:r w:rsidRPr="00361AAC">
              <w:rPr>
                <w:rFonts w:cs="Arial"/>
              </w:rPr>
              <w:t xml:space="preserve">, </w:t>
            </w:r>
            <w:proofErr w:type="spellStart"/>
            <w:r w:rsidRPr="00361AAC">
              <w:rPr>
                <w:rFonts w:cs="Arial"/>
              </w:rPr>
              <w:t>Nsca</w:t>
            </w:r>
            <w:proofErr w:type="spellEnd"/>
            <w:r w:rsidRPr="00361AAC">
              <w:rPr>
                <w:rFonts w:cs="Arial"/>
              </w:rPr>
              <w:t xml:space="preserve">, </w:t>
            </w:r>
            <w:proofErr w:type="spellStart"/>
            <w:r w:rsidRPr="00361AAC">
              <w:rPr>
                <w:rFonts w:cs="Arial"/>
              </w:rPr>
              <w:t>Ndet</w:t>
            </w:r>
            <w:proofErr w:type="spellEnd"/>
          </w:p>
        </w:tc>
        <w:tc>
          <w:tcPr>
            <w:tcW w:w="2390" w:type="dxa"/>
            <w:tcBorders>
              <w:top w:val="nil"/>
              <w:left w:val="nil"/>
              <w:bottom w:val="nil"/>
              <w:right w:val="nil"/>
            </w:tcBorders>
            <w:shd w:val="clear" w:color="auto" w:fill="auto"/>
            <w:noWrap/>
            <w:vAlign w:val="bottom"/>
          </w:tcPr>
          <w:p w:rsidR="00985797" w:rsidRPr="00361AAC" w:rsidRDefault="00985797" w:rsidP="00132F6D">
            <w:pPr>
              <w:rPr>
                <w:rFonts w:cs="Arial"/>
                <w:szCs w:val="20"/>
              </w:rPr>
            </w:pPr>
            <w:r w:rsidRPr="00361AAC">
              <w:rPr>
                <w:rFonts w:cs="Arial"/>
                <w:szCs w:val="20"/>
              </w:rPr>
              <w:t>Float</w:t>
            </w:r>
          </w:p>
          <w:p w:rsidR="00985797" w:rsidRPr="00361AAC" w:rsidRDefault="00985797" w:rsidP="00132F6D">
            <w:pPr>
              <w:rPr>
                <w:rFonts w:cs="Arial"/>
                <w:szCs w:val="20"/>
              </w:rPr>
            </w:pPr>
          </w:p>
        </w:tc>
      </w:tr>
    </w:tbl>
    <w:p w:rsidR="00985797" w:rsidRPr="00361AAC" w:rsidRDefault="00985797" w:rsidP="00985797">
      <w:pPr>
        <w:pStyle w:val="Heading4"/>
        <w:rPr>
          <w:rFonts w:cs="Arial"/>
        </w:rPr>
      </w:pPr>
      <w:bookmarkStart w:id="7" w:name="_Toc340837748"/>
      <w:bookmarkStart w:id="8" w:name="_Toc345688000"/>
      <w:r w:rsidRPr="00361AAC">
        <w:rPr>
          <w:rFonts w:cs="Arial"/>
        </w:rPr>
        <w:lastRenderedPageBreak/>
        <w:t>Procedure</w:t>
      </w:r>
      <w:bookmarkEnd w:id="7"/>
      <w:bookmarkEnd w:id="8"/>
    </w:p>
    <w:p w:rsidR="00985797" w:rsidRPr="00361AAC" w:rsidRDefault="00985797" w:rsidP="00985797">
      <w:pPr>
        <w:numPr>
          <w:ilvl w:val="0"/>
          <w:numId w:val="1"/>
        </w:numPr>
        <w:rPr>
          <w:rFonts w:cs="Arial"/>
        </w:rPr>
      </w:pPr>
      <w:r w:rsidRPr="00361AAC">
        <w:rPr>
          <w:rFonts w:cs="Arial"/>
        </w:rPr>
        <w:t>Read in the processing parameters.</w:t>
      </w:r>
    </w:p>
    <w:p w:rsidR="00985797" w:rsidRPr="00361AAC" w:rsidRDefault="00985797" w:rsidP="00985797">
      <w:pPr>
        <w:numPr>
          <w:ilvl w:val="0"/>
          <w:numId w:val="1"/>
        </w:numPr>
        <w:rPr>
          <w:rFonts w:cs="Arial"/>
        </w:rPr>
      </w:pPr>
      <w:r w:rsidRPr="00361AAC">
        <w:rPr>
          <w:rFonts w:cs="Arial"/>
        </w:rPr>
        <w:t xml:space="preserve">Read in an SCA. </w:t>
      </w:r>
    </w:p>
    <w:p w:rsidR="00985797" w:rsidRPr="00361AAC" w:rsidRDefault="00985797" w:rsidP="00985797">
      <w:pPr>
        <w:numPr>
          <w:ilvl w:val="0"/>
          <w:numId w:val="1"/>
        </w:numPr>
        <w:rPr>
          <w:rFonts w:cs="Arial"/>
        </w:rPr>
      </w:pPr>
      <w:r w:rsidRPr="00361AAC">
        <w:rPr>
          <w:rFonts w:cs="Arial"/>
        </w:rPr>
        <w:t>Determine if each scene in the data interval is valid.</w:t>
      </w:r>
    </w:p>
    <w:p w:rsidR="00985797" w:rsidRPr="00361AAC" w:rsidRDefault="00985797" w:rsidP="00985797">
      <w:pPr>
        <w:numPr>
          <w:ilvl w:val="1"/>
          <w:numId w:val="1"/>
        </w:numPr>
        <w:rPr>
          <w:rFonts w:cs="Arial"/>
        </w:rPr>
      </w:pPr>
      <w:r w:rsidRPr="00361AAC">
        <w:rPr>
          <w:rFonts w:cs="Arial"/>
        </w:rPr>
        <w:t>A scene must have data for all SCAs.</w:t>
      </w:r>
    </w:p>
    <w:p w:rsidR="00985797" w:rsidRPr="00361AAC" w:rsidRDefault="00985797" w:rsidP="00985797">
      <w:pPr>
        <w:numPr>
          <w:ilvl w:val="1"/>
          <w:numId w:val="1"/>
        </w:numPr>
        <w:rPr>
          <w:rFonts w:cs="Arial"/>
        </w:rPr>
      </w:pPr>
      <w:r w:rsidRPr="00361AAC">
        <w:rPr>
          <w:rFonts w:cs="Arial"/>
        </w:rPr>
        <w:t>Each SCA mean</w:t>
      </w:r>
      <w:proofErr w:type="gramStart"/>
      <w:r w:rsidRPr="00361AAC">
        <w:rPr>
          <w:rFonts w:cs="Arial"/>
        </w:rPr>
        <w:t xml:space="preserve">, </w:t>
      </w:r>
      <w:proofErr w:type="gramEnd"/>
      <w:r w:rsidRPr="00361AAC">
        <w:rPr>
          <w:rFonts w:cs="Arial"/>
          <w:position w:val="-12"/>
        </w:rPr>
        <w:object w:dxaOrig="499" w:dyaOrig="380">
          <v:shape id="_x0000_i1026" type="#_x0000_t75" style="width:26.25pt;height:21pt" o:ole="">
            <v:imagedata r:id="rId7" o:title=""/>
          </v:shape>
          <o:OLEObject Type="Embed" ProgID="Equation.3" ShapeID="_x0000_i1026" DrawAspect="Content" ObjectID="_1550571525" r:id="rId8"/>
        </w:object>
      </w:r>
      <w:r w:rsidRPr="00361AAC">
        <w:rPr>
          <w:rFonts w:cs="Arial"/>
        </w:rPr>
        <w:t>, for a scene must be within the minimum and maximum mean thresholds.</w:t>
      </w:r>
    </w:p>
    <w:p w:rsidR="00985797" w:rsidRPr="00361AAC" w:rsidRDefault="00985797" w:rsidP="00985797">
      <w:pPr>
        <w:numPr>
          <w:ilvl w:val="1"/>
          <w:numId w:val="1"/>
        </w:numPr>
        <w:rPr>
          <w:rFonts w:cs="Arial"/>
        </w:rPr>
      </w:pPr>
      <w:r w:rsidRPr="00361AAC">
        <w:rPr>
          <w:rFonts w:cs="Arial"/>
        </w:rPr>
        <w:t>Each SCA standard deviation,</w:t>
      </w:r>
      <w:r w:rsidRPr="00361AAC">
        <w:rPr>
          <w:rFonts w:cs="Arial"/>
          <w:i/>
        </w:rPr>
        <w:t xml:space="preserve"> </w:t>
      </w:r>
      <w:proofErr w:type="spellStart"/>
      <w:r w:rsidRPr="00361AAC">
        <w:rPr>
          <w:rFonts w:cs="Arial"/>
          <w:i/>
        </w:rPr>
        <w:t>σ</w:t>
      </w:r>
      <w:r w:rsidRPr="00361AAC">
        <w:rPr>
          <w:rFonts w:cs="Arial"/>
          <w:i/>
          <w:vertAlign w:val="subscript"/>
        </w:rPr>
        <w:t>SCA</w:t>
      </w:r>
      <w:proofErr w:type="spellEnd"/>
      <w:r w:rsidRPr="00361AAC">
        <w:rPr>
          <w:rFonts w:cs="Arial"/>
          <w:i/>
        </w:rPr>
        <w:t>,</w:t>
      </w:r>
      <w:r w:rsidRPr="00361AAC">
        <w:rPr>
          <w:rFonts w:cs="Arial"/>
        </w:rPr>
        <w:t xml:space="preserve"> for a scene must be within the minimum and maximum standard deviation thresholds.</w:t>
      </w:r>
    </w:p>
    <w:p w:rsidR="00985797" w:rsidRPr="00361AAC" w:rsidRDefault="00985797" w:rsidP="00985797">
      <w:pPr>
        <w:numPr>
          <w:ilvl w:val="1"/>
          <w:numId w:val="1"/>
        </w:numPr>
        <w:rPr>
          <w:rFonts w:cs="Arial"/>
        </w:rPr>
      </w:pPr>
      <w:r w:rsidRPr="00361AAC">
        <w:rPr>
          <w:rFonts w:cs="Arial"/>
        </w:rPr>
        <w:t>The number of frames in a scene must fit within the number of frames thresholds.</w:t>
      </w:r>
    </w:p>
    <w:p w:rsidR="00985797" w:rsidRPr="00361AAC" w:rsidRDefault="00985797" w:rsidP="00985797">
      <w:pPr>
        <w:ind w:left="1080"/>
        <w:rPr>
          <w:rFonts w:cs="Arial"/>
        </w:rPr>
      </w:pPr>
      <w:r w:rsidRPr="00361AAC">
        <w:rPr>
          <w:rFonts w:cs="Arial"/>
        </w:rPr>
        <w:t xml:space="preserve">If a scene does not meet each of these conditions it is invalid and its data will not be used. </w:t>
      </w:r>
    </w:p>
    <w:p w:rsidR="00985797" w:rsidRPr="00361AAC" w:rsidRDefault="00985797" w:rsidP="00985797">
      <w:pPr>
        <w:numPr>
          <w:ilvl w:val="0"/>
          <w:numId w:val="1"/>
        </w:numPr>
        <w:rPr>
          <w:rFonts w:cs="Arial"/>
        </w:rPr>
      </w:pPr>
      <w:r w:rsidRPr="00361AAC">
        <w:rPr>
          <w:rFonts w:cs="Arial"/>
        </w:rPr>
        <w:t>For every scene in the interval, weight each detector mean</w:t>
      </w:r>
      <w:proofErr w:type="gramStart"/>
      <w:r w:rsidRPr="00361AAC">
        <w:rPr>
          <w:rFonts w:cs="Arial"/>
        </w:rPr>
        <w:t xml:space="preserve">, </w:t>
      </w:r>
      <w:proofErr w:type="gramEnd"/>
      <w:r w:rsidRPr="00361AAC">
        <w:rPr>
          <w:rFonts w:cs="Arial"/>
          <w:position w:val="-12"/>
        </w:rPr>
        <w:object w:dxaOrig="420" w:dyaOrig="380">
          <v:shape id="_x0000_i1027" type="#_x0000_t75" style="width:21pt;height:21pt" o:ole="">
            <v:imagedata r:id="rId5" o:title=""/>
          </v:shape>
          <o:OLEObject Type="Embed" ProgID="Equation.3" ShapeID="_x0000_i1027" DrawAspect="Content" ObjectID="_1550571526" r:id="rId9"/>
        </w:object>
      </w:r>
      <w:r w:rsidRPr="00361AAC">
        <w:rPr>
          <w:rFonts w:cs="Arial"/>
        </w:rPr>
        <w:t xml:space="preserve">, standard deviation, </w:t>
      </w:r>
      <w:proofErr w:type="spellStart"/>
      <w:r w:rsidRPr="00361AAC">
        <w:rPr>
          <w:rFonts w:cs="Arial"/>
          <w:i/>
        </w:rPr>
        <w:t>σ</w:t>
      </w:r>
      <w:r w:rsidRPr="00361AAC">
        <w:rPr>
          <w:rFonts w:cs="Arial"/>
          <w:i/>
          <w:vertAlign w:val="subscript"/>
        </w:rPr>
        <w:t>det</w:t>
      </w:r>
      <w:proofErr w:type="spellEnd"/>
      <w:r w:rsidRPr="00361AAC">
        <w:rPr>
          <w:rFonts w:cs="Arial"/>
        </w:rPr>
        <w:t xml:space="preserve">, sum of squares, </w:t>
      </w:r>
      <w:r w:rsidRPr="00361AAC">
        <w:rPr>
          <w:rFonts w:cs="Arial"/>
          <w:i/>
        </w:rPr>
        <w:t>SumQ</w:t>
      </w:r>
      <w:r w:rsidRPr="00361AAC">
        <w:rPr>
          <w:rFonts w:cs="Arial"/>
          <w:i/>
          <w:vertAlign w:val="superscript"/>
        </w:rPr>
        <w:t>2</w:t>
      </w:r>
      <w:r w:rsidRPr="00361AAC">
        <w:rPr>
          <w:rFonts w:cs="Arial"/>
        </w:rPr>
        <w:t xml:space="preserve">, and adjacent detector correlation, </w:t>
      </w:r>
      <w:r w:rsidRPr="00361AAC">
        <w:rPr>
          <w:rFonts w:cs="Arial"/>
          <w:i/>
        </w:rPr>
        <w:t>ρ</w:t>
      </w:r>
      <w:r w:rsidRPr="00361AAC">
        <w:rPr>
          <w:rFonts w:cs="Arial"/>
        </w:rPr>
        <w:t xml:space="preserve"> with the number of valid frames, </w:t>
      </w:r>
      <w:r w:rsidRPr="00361AAC">
        <w:rPr>
          <w:rFonts w:cs="Arial"/>
          <w:i/>
        </w:rPr>
        <w:t>#</w:t>
      </w:r>
      <w:r w:rsidRPr="00361AAC">
        <w:rPr>
          <w:rFonts w:cs="Arial"/>
          <w:i/>
          <w:vertAlign w:val="subscript"/>
        </w:rPr>
        <w:t>frames</w:t>
      </w:r>
      <w:r w:rsidRPr="00361AAC">
        <w:rPr>
          <w:rFonts w:cs="Arial"/>
        </w:rPr>
        <w:t>.</w:t>
      </w:r>
    </w:p>
    <w:p w:rsidR="00985797" w:rsidRPr="00361AAC" w:rsidRDefault="00985797" w:rsidP="00985797">
      <w:pPr>
        <w:ind w:left="360"/>
        <w:jc w:val="center"/>
        <w:rPr>
          <w:rFonts w:cs="Arial"/>
        </w:rPr>
      </w:pPr>
      <w:r w:rsidRPr="00361AAC">
        <w:rPr>
          <w:rFonts w:cs="Arial"/>
          <w:position w:val="-14"/>
        </w:rPr>
        <w:object w:dxaOrig="1880" w:dyaOrig="420">
          <v:shape id="_x0000_i1028" type="#_x0000_t75" style="width:93pt;height:21pt" o:ole="">
            <v:imagedata r:id="rId10" o:title=""/>
          </v:shape>
          <o:OLEObject Type="Embed" ProgID="Equation.3" ShapeID="_x0000_i1028" DrawAspect="Content" ObjectID="_1550571527" r:id="rId11"/>
        </w:object>
      </w:r>
      <w:r w:rsidRPr="00361AAC">
        <w:rPr>
          <w:rFonts w:cs="Arial"/>
        </w:rPr>
        <w:tab/>
      </w:r>
      <w:r w:rsidRPr="00361AAC">
        <w:rPr>
          <w:rFonts w:cs="Arial"/>
          <w:position w:val="-14"/>
        </w:rPr>
        <w:object w:dxaOrig="1880" w:dyaOrig="380">
          <v:shape id="_x0000_i1029" type="#_x0000_t75" style="width:93pt;height:21pt" o:ole="">
            <v:imagedata r:id="rId12" o:title=""/>
          </v:shape>
          <o:OLEObject Type="Embed" ProgID="Equation.3" ShapeID="_x0000_i1029" DrawAspect="Content" ObjectID="_1550571528" r:id="rId13"/>
        </w:object>
      </w:r>
    </w:p>
    <w:p w:rsidR="00985797" w:rsidRPr="00361AAC" w:rsidRDefault="00985797" w:rsidP="00985797">
      <w:pPr>
        <w:ind w:left="360"/>
        <w:jc w:val="center"/>
        <w:rPr>
          <w:rFonts w:cs="Arial"/>
        </w:rPr>
      </w:pPr>
      <w:r w:rsidRPr="00361AAC">
        <w:rPr>
          <w:rFonts w:cs="Arial"/>
          <w:position w:val="-14"/>
        </w:rPr>
        <w:object w:dxaOrig="2780" w:dyaOrig="400">
          <v:shape id="_x0000_i1030" type="#_x0000_t75" style="width:138.75pt;height:21pt" o:ole="">
            <v:imagedata r:id="rId14" o:title=""/>
          </v:shape>
          <o:OLEObject Type="Embed" ProgID="Equation.3" ShapeID="_x0000_i1030" DrawAspect="Content" ObjectID="_1550571529" r:id="rId15"/>
        </w:object>
      </w:r>
      <w:r w:rsidRPr="00361AAC">
        <w:rPr>
          <w:rFonts w:cs="Arial"/>
        </w:rPr>
        <w:tab/>
      </w:r>
      <w:r w:rsidRPr="00361AAC">
        <w:rPr>
          <w:rFonts w:cs="Arial"/>
          <w:position w:val="-14"/>
        </w:rPr>
        <w:object w:dxaOrig="1660" w:dyaOrig="380">
          <v:shape id="_x0000_i1031" type="#_x0000_t75" style="width:81.75pt;height:21pt" o:ole="">
            <v:imagedata r:id="rId16" o:title=""/>
          </v:shape>
          <o:OLEObject Type="Embed" ProgID="Equation.3" ShapeID="_x0000_i1031" DrawAspect="Content" ObjectID="_1550571530" r:id="rId17"/>
        </w:object>
      </w:r>
    </w:p>
    <w:p w:rsidR="00985797" w:rsidRPr="00361AAC" w:rsidRDefault="00985797" w:rsidP="00985797">
      <w:pPr>
        <w:numPr>
          <w:ilvl w:val="0"/>
          <w:numId w:val="1"/>
        </w:numPr>
        <w:rPr>
          <w:rFonts w:cs="Arial"/>
        </w:rPr>
      </w:pPr>
      <w:r w:rsidRPr="00361AAC">
        <w:rPr>
          <w:rFonts w:cs="Arial"/>
        </w:rPr>
        <w:t xml:space="preserve">Calculate global weighted detector statistics by summing each weighted factor in the interval, and dividing that sum by the total number of frames. </w:t>
      </w:r>
    </w:p>
    <w:p w:rsidR="00985797" w:rsidRPr="00361AAC" w:rsidRDefault="00985797" w:rsidP="00985797">
      <w:pPr>
        <w:ind w:left="360"/>
        <w:jc w:val="center"/>
        <w:rPr>
          <w:rFonts w:cs="Arial"/>
        </w:rPr>
      </w:pPr>
      <w:r w:rsidRPr="00361AAC">
        <w:rPr>
          <w:rFonts w:cs="Arial"/>
          <w:position w:val="-32"/>
        </w:rPr>
        <w:object w:dxaOrig="3940" w:dyaOrig="780">
          <v:shape id="_x0000_i1032" type="#_x0000_t75" style="width:195.75pt;height:41.25pt" o:ole="">
            <v:imagedata r:id="rId18" o:title=""/>
          </v:shape>
          <o:OLEObject Type="Embed" ProgID="Equation.3" ShapeID="_x0000_i1032" DrawAspect="Content" ObjectID="_1550571531" r:id="rId19"/>
        </w:object>
      </w:r>
    </w:p>
    <w:p w:rsidR="00985797" w:rsidRPr="00361AAC" w:rsidRDefault="00985797" w:rsidP="00985797">
      <w:pPr>
        <w:ind w:left="360"/>
        <w:jc w:val="center"/>
        <w:rPr>
          <w:rFonts w:cs="Arial"/>
        </w:rPr>
      </w:pPr>
      <w:r w:rsidRPr="00361AAC">
        <w:rPr>
          <w:rFonts w:cs="Arial"/>
          <w:position w:val="-32"/>
        </w:rPr>
        <w:object w:dxaOrig="3820" w:dyaOrig="740">
          <v:shape id="_x0000_i1033" type="#_x0000_t75" style="width:189.75pt;height:36pt" o:ole="">
            <v:imagedata r:id="rId20" o:title=""/>
          </v:shape>
          <o:OLEObject Type="Embed" ProgID="Equation.3" ShapeID="_x0000_i1033" DrawAspect="Content" ObjectID="_1550571532" r:id="rId21"/>
        </w:object>
      </w:r>
    </w:p>
    <w:p w:rsidR="00985797" w:rsidRPr="00361AAC" w:rsidRDefault="00985797" w:rsidP="00985797">
      <w:pPr>
        <w:ind w:left="360"/>
        <w:jc w:val="center"/>
        <w:rPr>
          <w:rFonts w:cs="Arial"/>
        </w:rPr>
      </w:pPr>
      <w:r w:rsidRPr="00361AAC">
        <w:rPr>
          <w:rFonts w:cs="Arial"/>
          <w:position w:val="-32"/>
        </w:rPr>
        <w:object w:dxaOrig="6100" w:dyaOrig="740">
          <v:shape id="_x0000_i1034" type="#_x0000_t75" style="width:303pt;height:36pt" o:ole="">
            <v:imagedata r:id="rId22" o:title=""/>
          </v:shape>
          <o:OLEObject Type="Embed" ProgID="Equation.3" ShapeID="_x0000_i1034" DrawAspect="Content" ObjectID="_1550571533" r:id="rId23"/>
        </w:object>
      </w:r>
    </w:p>
    <w:p w:rsidR="00985797" w:rsidRPr="00361AAC" w:rsidRDefault="00985797" w:rsidP="00985797">
      <w:pPr>
        <w:ind w:left="360"/>
        <w:jc w:val="center"/>
        <w:rPr>
          <w:rFonts w:cs="Arial"/>
        </w:rPr>
      </w:pPr>
      <w:r w:rsidRPr="00361AAC">
        <w:rPr>
          <w:rFonts w:cs="Arial"/>
          <w:position w:val="-32"/>
        </w:rPr>
        <w:object w:dxaOrig="3820" w:dyaOrig="740">
          <v:shape id="_x0000_i1035" type="#_x0000_t75" style="width:189.75pt;height:36pt" o:ole="">
            <v:imagedata r:id="rId24" o:title=""/>
          </v:shape>
          <o:OLEObject Type="Embed" ProgID="Equation.3" ShapeID="_x0000_i1035" DrawAspect="Content" ObjectID="_1550571534" r:id="rId25"/>
        </w:object>
      </w:r>
    </w:p>
    <w:p w:rsidR="00985797" w:rsidRPr="00361AAC" w:rsidRDefault="00985797" w:rsidP="00985797">
      <w:pPr>
        <w:ind w:left="360"/>
        <w:jc w:val="center"/>
        <w:rPr>
          <w:rFonts w:cs="Arial"/>
        </w:rPr>
      </w:pPr>
      <w:proofErr w:type="gramStart"/>
      <w:r w:rsidRPr="00361AAC">
        <w:rPr>
          <w:rFonts w:cs="Arial"/>
        </w:rPr>
        <w:t>where</w:t>
      </w:r>
      <w:proofErr w:type="gramEnd"/>
      <w:r w:rsidRPr="00361AAC">
        <w:rPr>
          <w:rFonts w:cs="Arial"/>
        </w:rPr>
        <w:t xml:space="preserve"> 1 and 2 are the first </w:t>
      </w:r>
      <w:r w:rsidRPr="00361AAC">
        <w:rPr>
          <w:rFonts w:cs="Arial"/>
          <w:u w:val="single"/>
        </w:rPr>
        <w:t>scenes</w:t>
      </w:r>
      <w:r w:rsidRPr="00361AAC">
        <w:rPr>
          <w:rFonts w:cs="Arial"/>
        </w:rPr>
        <w:t xml:space="preserve"> in the interval and </w:t>
      </w:r>
      <w:r w:rsidRPr="00361AAC">
        <w:rPr>
          <w:rFonts w:cs="Arial"/>
          <w:i/>
        </w:rPr>
        <w:t>m</w:t>
      </w:r>
      <w:r w:rsidRPr="00361AAC">
        <w:rPr>
          <w:rFonts w:cs="Arial"/>
        </w:rPr>
        <w:t xml:space="preserve"> is the last.</w:t>
      </w:r>
    </w:p>
    <w:p w:rsidR="00985797" w:rsidRPr="00361AAC" w:rsidRDefault="00985797" w:rsidP="00985797">
      <w:pPr>
        <w:numPr>
          <w:ilvl w:val="0"/>
          <w:numId w:val="1"/>
        </w:numPr>
        <w:rPr>
          <w:rFonts w:cs="Arial"/>
        </w:rPr>
      </w:pPr>
      <w:r w:rsidRPr="00361AAC">
        <w:rPr>
          <w:rFonts w:cs="Arial"/>
        </w:rPr>
        <w:t>Once the global detector statistics are calculated, the relative gain can be calculated using the different methods.</w:t>
      </w:r>
      <w:r w:rsidRPr="00361AAC">
        <w:rPr>
          <w:rFonts w:cs="Arial"/>
        </w:rPr>
        <w:br/>
      </w:r>
    </w:p>
    <w:p w:rsidR="00985797" w:rsidRPr="00361AAC" w:rsidRDefault="00985797" w:rsidP="00985797">
      <w:pPr>
        <w:numPr>
          <w:ilvl w:val="1"/>
          <w:numId w:val="1"/>
        </w:numPr>
        <w:rPr>
          <w:rFonts w:cs="Arial"/>
        </w:rPr>
      </w:pPr>
      <w:r w:rsidRPr="00361AAC">
        <w:rPr>
          <w:rFonts w:cs="Arial"/>
        </w:rPr>
        <w:t>The SCA average mean method is calculated by taking the ratio between the global detector means and the SCA average mean. The SCA average mean is the mean of all the global detector means in the SCA.</w:t>
      </w:r>
    </w:p>
    <w:p w:rsidR="00985797" w:rsidRPr="00361AAC" w:rsidRDefault="00985797" w:rsidP="00985797">
      <w:pPr>
        <w:jc w:val="center"/>
        <w:rPr>
          <w:rFonts w:cs="Arial"/>
        </w:rPr>
      </w:pPr>
      <w:r w:rsidRPr="00361AAC">
        <w:rPr>
          <w:rFonts w:cs="Arial"/>
          <w:position w:val="-36"/>
        </w:rPr>
        <w:object w:dxaOrig="4060" w:dyaOrig="840">
          <v:shape id="_x0000_i1036" type="#_x0000_t75" style="width:201pt;height:41.25pt" o:ole="">
            <v:imagedata r:id="rId26" o:title=""/>
          </v:shape>
          <o:OLEObject Type="Embed" ProgID="Equation.3" ShapeID="_x0000_i1036" DrawAspect="Content" ObjectID="_1550571535" r:id="rId27"/>
        </w:object>
      </w:r>
    </w:p>
    <w:p w:rsidR="00985797" w:rsidRPr="00361AAC" w:rsidRDefault="00985797" w:rsidP="00985797">
      <w:pPr>
        <w:numPr>
          <w:ilvl w:val="1"/>
          <w:numId w:val="1"/>
        </w:numPr>
        <w:rPr>
          <w:rFonts w:cs="Arial"/>
        </w:rPr>
      </w:pPr>
      <w:r w:rsidRPr="00361AAC">
        <w:rPr>
          <w:rFonts w:cs="Arial"/>
        </w:rPr>
        <w:t xml:space="preserve">For the SCA average standard deviation method, the gains are calculated by taking the ratio between the global detector standard deviations and the SCA average standard deviation. The SCA average standard </w:t>
      </w:r>
      <w:r w:rsidRPr="00361AAC">
        <w:rPr>
          <w:rFonts w:cs="Arial"/>
        </w:rPr>
        <w:lastRenderedPageBreak/>
        <w:t>deviation is the mean of all the global detector standard deviations in the SCA.</w:t>
      </w:r>
    </w:p>
    <w:p w:rsidR="00985797" w:rsidRPr="00361AAC" w:rsidRDefault="00985797" w:rsidP="00985797">
      <w:pPr>
        <w:jc w:val="center"/>
        <w:rPr>
          <w:rFonts w:cs="Arial"/>
        </w:rPr>
      </w:pPr>
      <w:r w:rsidRPr="00361AAC">
        <w:rPr>
          <w:rFonts w:cs="Arial"/>
          <w:position w:val="-32"/>
        </w:rPr>
        <w:object w:dxaOrig="4000" w:dyaOrig="740">
          <v:shape id="_x0000_i1037" type="#_x0000_t75" style="width:201pt;height:36pt" o:ole="">
            <v:imagedata r:id="rId28" o:title=""/>
          </v:shape>
          <o:OLEObject Type="Embed" ProgID="Equation.3" ShapeID="_x0000_i1037" DrawAspect="Content" ObjectID="_1550571536" r:id="rId29"/>
        </w:object>
      </w:r>
    </w:p>
    <w:p w:rsidR="00985797" w:rsidRPr="00361AAC" w:rsidRDefault="00985797" w:rsidP="00985797">
      <w:pPr>
        <w:numPr>
          <w:ilvl w:val="1"/>
          <w:numId w:val="1"/>
        </w:numPr>
        <w:rPr>
          <w:rFonts w:cs="Arial"/>
        </w:rPr>
      </w:pPr>
      <w:r w:rsidRPr="00361AAC">
        <w:rPr>
          <w:rFonts w:cs="Arial"/>
        </w:rPr>
        <w:t xml:space="preserve">The SMA 1 method gains are calculated by solving a matrix equation that contains the </w:t>
      </w:r>
      <w:r w:rsidRPr="00361AAC">
        <w:rPr>
          <w:rFonts w:cs="Arial"/>
          <w:i/>
        </w:rPr>
        <w:t>SumQ</w:t>
      </w:r>
      <w:r w:rsidRPr="00361AAC">
        <w:rPr>
          <w:rFonts w:cs="Arial"/>
          <w:i/>
          <w:vertAlign w:val="superscript"/>
        </w:rPr>
        <w:t>2</w:t>
      </w:r>
      <w:r w:rsidRPr="00361AAC">
        <w:rPr>
          <w:rFonts w:cs="Arial"/>
        </w:rPr>
        <w:t xml:space="preserve"> and ρ products.</w:t>
      </w:r>
    </w:p>
    <w:p w:rsidR="00985797" w:rsidRPr="00361AAC" w:rsidRDefault="00985797" w:rsidP="00985797">
      <w:pPr>
        <w:numPr>
          <w:ilvl w:val="2"/>
          <w:numId w:val="1"/>
        </w:numPr>
        <w:rPr>
          <w:rFonts w:cs="Arial"/>
        </w:rPr>
      </w:pPr>
      <w:r w:rsidRPr="00361AAC">
        <w:rPr>
          <w:rFonts w:cs="Arial"/>
        </w:rPr>
        <w:t xml:space="preserve">First the global </w:t>
      </w:r>
      <w:r w:rsidRPr="00361AAC">
        <w:rPr>
          <w:rFonts w:cs="Arial"/>
          <w:i/>
        </w:rPr>
        <w:t>SumQ</w:t>
      </w:r>
      <w:r w:rsidRPr="00361AAC">
        <w:rPr>
          <w:rFonts w:cs="Arial"/>
          <w:i/>
          <w:vertAlign w:val="superscript"/>
        </w:rPr>
        <w:t>2</w:t>
      </w:r>
      <w:r w:rsidRPr="00361AAC">
        <w:rPr>
          <w:rFonts w:cs="Arial"/>
        </w:rPr>
        <w:t xml:space="preserve"> and ρ products should be put into a matrix as shown below. Besides the last row, the matrix only has nonzero entries along two diagonals. </w:t>
      </w:r>
    </w:p>
    <w:p w:rsidR="00985797" w:rsidRPr="00361AAC" w:rsidRDefault="00985797" w:rsidP="00985797">
      <w:pPr>
        <w:jc w:val="center"/>
        <w:rPr>
          <w:rFonts w:cs="Arial"/>
        </w:rPr>
      </w:pPr>
      <w:r w:rsidRPr="00361AAC">
        <w:rPr>
          <w:rFonts w:cs="Arial"/>
          <w:position w:val="-86"/>
        </w:rPr>
        <w:object w:dxaOrig="9125" w:dyaOrig="2017">
          <v:shape id="_x0000_i1038" type="#_x0000_t75" style="width:6in;height:93pt" o:ole="">
            <v:imagedata r:id="rId30" o:title=""/>
          </v:shape>
          <o:OLEObject Type="Embed" ProgID="Equation.3" ShapeID="_x0000_i1038" DrawAspect="Content" ObjectID="_1550571537" r:id="rId31"/>
        </w:object>
      </w:r>
    </w:p>
    <w:p w:rsidR="00985797" w:rsidRPr="00361AAC" w:rsidRDefault="00985797" w:rsidP="00985797">
      <w:pPr>
        <w:jc w:val="center"/>
        <w:rPr>
          <w:rFonts w:cs="Arial"/>
        </w:rPr>
      </w:pPr>
      <w:proofErr w:type="gramStart"/>
      <w:r w:rsidRPr="00361AAC">
        <w:rPr>
          <w:rFonts w:cs="Arial"/>
        </w:rPr>
        <w:t>where</w:t>
      </w:r>
      <w:proofErr w:type="gramEnd"/>
      <w:r w:rsidRPr="00361AAC">
        <w:rPr>
          <w:rFonts w:cs="Arial"/>
        </w:rPr>
        <w:t xml:space="preserve"> </w:t>
      </w:r>
      <w:r w:rsidRPr="00361AAC">
        <w:rPr>
          <w:rFonts w:cs="Arial"/>
          <w:i/>
        </w:rPr>
        <w:t>m</w:t>
      </w:r>
      <w:r w:rsidRPr="00361AAC">
        <w:rPr>
          <w:rFonts w:cs="Arial"/>
        </w:rPr>
        <w:t xml:space="preserve"> is the number of detectors.</w:t>
      </w:r>
    </w:p>
    <w:p w:rsidR="00985797" w:rsidRPr="00361AAC" w:rsidRDefault="00985797" w:rsidP="00985797">
      <w:pPr>
        <w:numPr>
          <w:ilvl w:val="2"/>
          <w:numId w:val="1"/>
        </w:numPr>
        <w:rPr>
          <w:rFonts w:cs="Arial"/>
        </w:rPr>
      </w:pPr>
      <w:r w:rsidRPr="00361AAC">
        <w:rPr>
          <w:rFonts w:cs="Arial"/>
        </w:rPr>
        <w:t>A reciprocal relative gain matrix is multiplied with this matrix, and their product is set equal to a zero matrix. The last entry in the zero matrix is set to the number of detectors to ensure that the mean of the relative gain estimations will be equal to one.</w:t>
      </w:r>
    </w:p>
    <w:p w:rsidR="00985797" w:rsidRPr="00361AAC" w:rsidRDefault="00985797" w:rsidP="00985797">
      <w:pPr>
        <w:jc w:val="center"/>
        <w:rPr>
          <w:rFonts w:cs="Arial"/>
        </w:rPr>
      </w:pPr>
      <w:r w:rsidRPr="00361AAC">
        <w:rPr>
          <w:rFonts w:cs="Arial"/>
          <w:position w:val="-104"/>
        </w:rPr>
        <w:object w:dxaOrig="7740" w:dyaOrig="2200">
          <v:shape id="_x0000_i1039" type="#_x0000_t75" style="width:381pt;height:108.75pt" o:ole="">
            <v:imagedata r:id="rId32" o:title=""/>
          </v:shape>
          <o:OLEObject Type="Embed" ProgID="Equation.3" ShapeID="_x0000_i1039" DrawAspect="Content" ObjectID="_1550571538" r:id="rId33"/>
        </w:object>
      </w:r>
    </w:p>
    <w:p w:rsidR="00985797" w:rsidRPr="00361AAC" w:rsidRDefault="00985797" w:rsidP="00985797">
      <w:pPr>
        <w:jc w:val="center"/>
        <w:rPr>
          <w:rFonts w:cs="Arial"/>
        </w:rPr>
      </w:pPr>
      <w:proofErr w:type="gramStart"/>
      <w:r w:rsidRPr="00361AAC">
        <w:rPr>
          <w:rFonts w:cs="Arial"/>
        </w:rPr>
        <w:t>where</w:t>
      </w:r>
      <w:proofErr w:type="gramEnd"/>
      <w:r w:rsidRPr="00361AAC">
        <w:rPr>
          <w:rFonts w:cs="Arial"/>
        </w:rPr>
        <w:t xml:space="preserve"> </w:t>
      </w:r>
      <w:r w:rsidRPr="00361AAC">
        <w:rPr>
          <w:rFonts w:cs="Arial"/>
          <w:i/>
        </w:rPr>
        <w:t>r</w:t>
      </w:r>
      <w:r w:rsidRPr="00361AAC">
        <w:rPr>
          <w:rFonts w:cs="Arial"/>
        </w:rPr>
        <w:t xml:space="preserve"> is the relative gain.</w:t>
      </w:r>
    </w:p>
    <w:p w:rsidR="00985797" w:rsidRPr="00361AAC" w:rsidRDefault="00985797" w:rsidP="00985797">
      <w:pPr>
        <w:numPr>
          <w:ilvl w:val="2"/>
          <w:numId w:val="1"/>
        </w:numPr>
        <w:rPr>
          <w:rFonts w:cs="Arial"/>
        </w:rPr>
      </w:pPr>
      <w:r w:rsidRPr="00361AAC">
        <w:rPr>
          <w:rFonts w:cs="Arial"/>
        </w:rPr>
        <w:t xml:space="preserve">Once these matrices are set up, any matrix solution method can be used to solve the equation. </w:t>
      </w:r>
    </w:p>
    <w:p w:rsidR="00985797" w:rsidRPr="00361AAC" w:rsidRDefault="00985797" w:rsidP="00985797">
      <w:pPr>
        <w:numPr>
          <w:ilvl w:val="2"/>
          <w:numId w:val="1"/>
        </w:numPr>
        <w:rPr>
          <w:rFonts w:cs="Arial"/>
        </w:rPr>
      </w:pPr>
      <w:r w:rsidRPr="00361AAC">
        <w:rPr>
          <w:rFonts w:cs="Arial"/>
        </w:rPr>
        <w:t xml:space="preserve"> The element-by-element reciprocal of the relative gains vector will have to be taken to get the relative gains. </w:t>
      </w:r>
    </w:p>
    <w:p w:rsidR="00985797" w:rsidRPr="00361AAC" w:rsidRDefault="00985797" w:rsidP="00985797">
      <w:pPr>
        <w:rPr>
          <w:rFonts w:cs="Arial"/>
        </w:rPr>
      </w:pPr>
    </w:p>
    <w:p w:rsidR="00985797" w:rsidRPr="00361AAC" w:rsidRDefault="00985797" w:rsidP="00985797">
      <w:pPr>
        <w:numPr>
          <w:ilvl w:val="1"/>
          <w:numId w:val="1"/>
        </w:numPr>
        <w:rPr>
          <w:rFonts w:cs="Arial"/>
        </w:rPr>
      </w:pPr>
      <w:r w:rsidRPr="00361AAC">
        <w:rPr>
          <w:rFonts w:cs="Arial"/>
        </w:rPr>
        <w:t>The SMA 2 method is similar to the SMA 1 method.</w:t>
      </w:r>
    </w:p>
    <w:p w:rsidR="00985797" w:rsidRPr="00361AAC" w:rsidRDefault="00985797" w:rsidP="00985797">
      <w:pPr>
        <w:numPr>
          <w:ilvl w:val="2"/>
          <w:numId w:val="1"/>
        </w:numPr>
        <w:rPr>
          <w:rFonts w:cs="Arial"/>
        </w:rPr>
      </w:pPr>
      <w:r w:rsidRPr="00361AAC">
        <w:rPr>
          <w:rFonts w:cs="Arial"/>
        </w:rPr>
        <w:t xml:space="preserve">The global </w:t>
      </w:r>
      <w:r w:rsidRPr="00361AAC">
        <w:rPr>
          <w:rFonts w:cs="Arial"/>
          <w:i/>
        </w:rPr>
        <w:t>SumQ</w:t>
      </w:r>
      <w:r w:rsidRPr="00361AAC">
        <w:rPr>
          <w:rFonts w:cs="Arial"/>
          <w:i/>
          <w:vertAlign w:val="superscript"/>
        </w:rPr>
        <w:t>2</w:t>
      </w:r>
      <w:r w:rsidRPr="00361AAC">
        <w:rPr>
          <w:rFonts w:cs="Arial"/>
        </w:rPr>
        <w:t xml:space="preserve"> and ρ products should be put into the matrix a little differently as shown below. This (tri-diagonal) matrix has values along three diagonals, except for the first and last rows, which only have two entries. </w:t>
      </w:r>
    </w:p>
    <w:p w:rsidR="00985797" w:rsidRPr="00361AAC" w:rsidRDefault="00985797" w:rsidP="00985797">
      <w:pPr>
        <w:jc w:val="center"/>
        <w:rPr>
          <w:rFonts w:cs="Arial"/>
        </w:rPr>
      </w:pPr>
      <w:r w:rsidRPr="00361AAC">
        <w:rPr>
          <w:rFonts w:cs="Arial"/>
          <w:position w:val="-88"/>
        </w:rPr>
        <w:object w:dxaOrig="10280" w:dyaOrig="1880">
          <v:shape id="_x0000_i1040" type="#_x0000_t75" style="width:6in;height:77.25pt" o:ole="">
            <v:imagedata r:id="rId34" o:title=""/>
          </v:shape>
          <o:OLEObject Type="Embed" ProgID="Equation.3" ShapeID="_x0000_i1040" DrawAspect="Content" ObjectID="_1550571539" r:id="rId35"/>
        </w:object>
      </w:r>
    </w:p>
    <w:p w:rsidR="00985797" w:rsidRPr="00361AAC" w:rsidRDefault="00985797" w:rsidP="00985797">
      <w:pPr>
        <w:numPr>
          <w:ilvl w:val="2"/>
          <w:numId w:val="1"/>
        </w:numPr>
        <w:rPr>
          <w:rFonts w:cs="Arial"/>
        </w:rPr>
      </w:pPr>
      <w:r w:rsidRPr="00361AAC">
        <w:rPr>
          <w:rFonts w:cs="Arial"/>
        </w:rPr>
        <w:lastRenderedPageBreak/>
        <w:t xml:space="preserve">A reciprocal relative gain vector is multiplied with this matrix, and their product is set equal to a zero matrix. The zero matrix here is not actually zero but the smallest possible positive </w:t>
      </w:r>
      <w:proofErr w:type="gramStart"/>
      <w:r w:rsidRPr="00361AAC">
        <w:rPr>
          <w:rFonts w:cs="Arial"/>
        </w:rPr>
        <w:t>non</w:t>
      </w:r>
      <w:proofErr w:type="gramEnd"/>
      <w:r w:rsidRPr="00361AAC">
        <w:rPr>
          <w:rFonts w:cs="Arial"/>
        </w:rPr>
        <w:t xml:space="preserve"> zero number the computer can use.</w:t>
      </w:r>
    </w:p>
    <w:p w:rsidR="00985797" w:rsidRPr="00361AAC" w:rsidRDefault="00985797" w:rsidP="00985797">
      <w:pPr>
        <w:ind w:left="360"/>
        <w:jc w:val="center"/>
        <w:rPr>
          <w:rFonts w:cs="Arial"/>
        </w:rPr>
      </w:pPr>
      <w:r w:rsidRPr="00361AAC">
        <w:rPr>
          <w:rFonts w:cs="Arial"/>
          <w:position w:val="-76"/>
        </w:rPr>
        <w:object w:dxaOrig="6900" w:dyaOrig="1640">
          <v:shape id="_x0000_i1041" type="#_x0000_t75" style="width:396.75pt;height:93pt" o:ole="">
            <v:imagedata r:id="rId36" o:title=""/>
          </v:shape>
          <o:OLEObject Type="Embed" ProgID="Equation.3" ShapeID="_x0000_i1041" DrawAspect="Content" ObjectID="_1550571540" r:id="rId37"/>
        </w:object>
      </w:r>
    </w:p>
    <w:p w:rsidR="00985797" w:rsidRPr="00361AAC" w:rsidRDefault="00985797" w:rsidP="00985797">
      <w:pPr>
        <w:numPr>
          <w:ilvl w:val="2"/>
          <w:numId w:val="1"/>
        </w:numPr>
        <w:rPr>
          <w:rFonts w:cs="Arial"/>
        </w:rPr>
      </w:pPr>
      <w:r w:rsidRPr="00361AAC">
        <w:rPr>
          <w:rFonts w:cs="Arial"/>
        </w:rPr>
        <w:t xml:space="preserve">Once these matrices are set up, any matrix solution method can be used to solve the equation. </w:t>
      </w:r>
    </w:p>
    <w:p w:rsidR="00985797" w:rsidRPr="00361AAC" w:rsidRDefault="00985797" w:rsidP="00985797">
      <w:pPr>
        <w:numPr>
          <w:ilvl w:val="2"/>
          <w:numId w:val="1"/>
        </w:numPr>
        <w:rPr>
          <w:rFonts w:cs="Arial"/>
        </w:rPr>
      </w:pPr>
      <w:r w:rsidRPr="00361AAC">
        <w:rPr>
          <w:rFonts w:cs="Arial"/>
        </w:rPr>
        <w:t xml:space="preserve"> The element-by-element reciprocal of the relative gains vector will have to be taken to get the relative gains. </w:t>
      </w:r>
    </w:p>
    <w:p w:rsidR="00985797" w:rsidRPr="00361AAC" w:rsidRDefault="00985797" w:rsidP="00985797">
      <w:pPr>
        <w:numPr>
          <w:ilvl w:val="2"/>
          <w:numId w:val="1"/>
        </w:numPr>
        <w:rPr>
          <w:rFonts w:cs="Arial"/>
        </w:rPr>
      </w:pPr>
      <w:r w:rsidRPr="00361AAC">
        <w:rPr>
          <w:rFonts w:cs="Arial"/>
        </w:rPr>
        <w:t>After the relative gains have been found, they will have to be normalized to one.</w:t>
      </w:r>
    </w:p>
    <w:p w:rsidR="00985797" w:rsidRPr="00361AAC" w:rsidRDefault="00985797" w:rsidP="00985797">
      <w:pPr>
        <w:rPr>
          <w:rFonts w:cs="Arial"/>
        </w:rPr>
      </w:pPr>
    </w:p>
    <w:p w:rsidR="00985797" w:rsidRPr="00361AAC" w:rsidRDefault="00985797" w:rsidP="00985797">
      <w:pPr>
        <w:rPr>
          <w:rFonts w:cs="Arial"/>
        </w:rPr>
      </w:pPr>
    </w:p>
    <w:p w:rsidR="00985797" w:rsidRPr="00361AAC" w:rsidRDefault="00985797" w:rsidP="00985797">
      <w:pPr>
        <w:numPr>
          <w:ilvl w:val="0"/>
          <w:numId w:val="1"/>
        </w:numPr>
        <w:tabs>
          <w:tab w:val="left" w:pos="2174"/>
        </w:tabs>
        <w:rPr>
          <w:rFonts w:cs="Arial"/>
        </w:rPr>
      </w:pPr>
      <w:r w:rsidRPr="00361AAC">
        <w:rPr>
          <w:rFonts w:cs="Arial"/>
        </w:rPr>
        <w:t>Repeat Steps 2-6 for all SCAs and Bands.</w:t>
      </w:r>
      <w:r w:rsidRPr="00361AAC">
        <w:rPr>
          <w:rFonts w:cs="Arial"/>
        </w:rPr>
        <w:tab/>
      </w:r>
    </w:p>
    <w:p w:rsidR="00000AB9" w:rsidRDefault="00000AB9">
      <w:bookmarkStart w:id="9" w:name="_GoBack"/>
      <w:bookmarkEnd w:id="9"/>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 w15:restartNumberingAfterBreak="0">
    <w:nsid w:val="62412B95"/>
    <w:multiLevelType w:val="hybridMultilevel"/>
    <w:tmpl w:val="A0600F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97"/>
    <w:rsid w:val="00000AB9"/>
    <w:rsid w:val="0098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0B9A2-B1E8-4961-BF61-4921D050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79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85797"/>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85797"/>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985797"/>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985797"/>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985797"/>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985797"/>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985797"/>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985797"/>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985797"/>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797"/>
    <w:rPr>
      <w:rFonts w:ascii="Arial" w:eastAsia="Times New Roman" w:hAnsi="Arial" w:cs="Times New Roman"/>
      <w:b/>
      <w:sz w:val="32"/>
      <w:szCs w:val="20"/>
    </w:rPr>
  </w:style>
  <w:style w:type="character" w:customStyle="1" w:styleId="Heading2Char">
    <w:name w:val="Heading 2 Char"/>
    <w:basedOn w:val="DefaultParagraphFont"/>
    <w:link w:val="Heading2"/>
    <w:rsid w:val="00985797"/>
    <w:rPr>
      <w:rFonts w:ascii="Arial" w:eastAsia="Times New Roman" w:hAnsi="Arial" w:cs="Arial"/>
      <w:b/>
      <w:bCs/>
      <w:iCs/>
      <w:sz w:val="28"/>
      <w:szCs w:val="28"/>
    </w:rPr>
  </w:style>
  <w:style w:type="character" w:customStyle="1" w:styleId="Heading3Char">
    <w:name w:val="Heading 3 Char"/>
    <w:basedOn w:val="DefaultParagraphFont"/>
    <w:link w:val="Heading3"/>
    <w:rsid w:val="00985797"/>
    <w:rPr>
      <w:rFonts w:ascii="Arial" w:eastAsia="Times New Roman" w:hAnsi="Arial" w:cs="Times New Roman"/>
      <w:b/>
      <w:sz w:val="24"/>
      <w:szCs w:val="20"/>
    </w:rPr>
  </w:style>
  <w:style w:type="character" w:customStyle="1" w:styleId="Heading4Char">
    <w:name w:val="Heading 4 Char"/>
    <w:basedOn w:val="DefaultParagraphFont"/>
    <w:link w:val="Heading4"/>
    <w:rsid w:val="00985797"/>
    <w:rPr>
      <w:rFonts w:ascii="Arial" w:eastAsia="Times New Roman" w:hAnsi="Arial" w:cs="Times New Roman"/>
      <w:b/>
      <w:sz w:val="24"/>
      <w:szCs w:val="20"/>
    </w:rPr>
  </w:style>
  <w:style w:type="character" w:customStyle="1" w:styleId="Heading5Char">
    <w:name w:val="Heading 5 Char"/>
    <w:basedOn w:val="DefaultParagraphFont"/>
    <w:link w:val="Heading5"/>
    <w:rsid w:val="00985797"/>
    <w:rPr>
      <w:rFonts w:ascii="Arial" w:eastAsia="Times New Roman" w:hAnsi="Arial" w:cs="Times New Roman"/>
      <w:b/>
      <w:sz w:val="24"/>
      <w:szCs w:val="20"/>
    </w:rPr>
  </w:style>
  <w:style w:type="character" w:customStyle="1" w:styleId="Heading6Char">
    <w:name w:val="Heading 6 Char"/>
    <w:basedOn w:val="DefaultParagraphFont"/>
    <w:link w:val="Heading6"/>
    <w:rsid w:val="00985797"/>
    <w:rPr>
      <w:rFonts w:ascii="Arial" w:eastAsia="Times New Roman" w:hAnsi="Arial" w:cs="Times New Roman"/>
      <w:b/>
      <w:sz w:val="24"/>
      <w:szCs w:val="20"/>
    </w:rPr>
  </w:style>
  <w:style w:type="character" w:customStyle="1" w:styleId="Heading7Char">
    <w:name w:val="Heading 7 Char"/>
    <w:basedOn w:val="DefaultParagraphFont"/>
    <w:link w:val="Heading7"/>
    <w:rsid w:val="00985797"/>
    <w:rPr>
      <w:rFonts w:ascii="Arial" w:eastAsia="Times New Roman" w:hAnsi="Arial" w:cs="Times New Roman"/>
      <w:b/>
      <w:sz w:val="24"/>
      <w:szCs w:val="20"/>
    </w:rPr>
  </w:style>
  <w:style w:type="character" w:customStyle="1" w:styleId="Heading8Char">
    <w:name w:val="Heading 8 Char"/>
    <w:basedOn w:val="DefaultParagraphFont"/>
    <w:link w:val="Heading8"/>
    <w:rsid w:val="00985797"/>
    <w:rPr>
      <w:rFonts w:ascii="Arial" w:eastAsia="Times New Roman" w:hAnsi="Arial" w:cs="Times New Roman"/>
      <w:b/>
      <w:sz w:val="24"/>
      <w:szCs w:val="20"/>
    </w:rPr>
  </w:style>
  <w:style w:type="character" w:customStyle="1" w:styleId="Heading9Char">
    <w:name w:val="Heading 9 Char"/>
    <w:basedOn w:val="DefaultParagraphFont"/>
    <w:link w:val="Heading9"/>
    <w:rsid w:val="00985797"/>
    <w:rPr>
      <w:rFonts w:ascii="Arial" w:eastAsia="Times New Roman" w:hAnsi="Arial" w:cs="Arial"/>
      <w:b/>
      <w:sz w:val="24"/>
    </w:rPr>
  </w:style>
  <w:style w:type="character" w:styleId="CommentReference">
    <w:name w:val="annotation reference"/>
    <w:basedOn w:val="DefaultParagraphFont"/>
    <w:unhideWhenUsed/>
    <w:rsid w:val="009857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4297</Characters>
  <Application>Microsoft Office Word</Application>
  <DocSecurity>0</DocSecurity>
  <Lines>35</Lines>
  <Paragraphs>10</Paragraphs>
  <ScaleCrop>false</ScaleCrop>
  <Company>USGS EROS</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2017-03-09T17:57:00Z</dcterms:created>
  <dcterms:modified xsi:type="dcterms:W3CDTF">2017-03-09T17:58:00Z</dcterms:modified>
</cp:coreProperties>
</file>