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0C3" w:rsidRPr="00361AAC" w:rsidRDefault="009310C3" w:rsidP="009310C3">
      <w:pPr>
        <w:pStyle w:val="Heading3"/>
        <w:rPr>
          <w:rFonts w:cs="Arial"/>
        </w:rPr>
      </w:pPr>
      <w:bookmarkStart w:id="0" w:name="_Toc340837733"/>
      <w:bookmarkStart w:id="1" w:name="_Toc345687978"/>
      <w:bookmarkStart w:id="2" w:name="_Toc350351979"/>
      <w:bookmarkStart w:id="3" w:name="_Toc476818629"/>
      <w:r w:rsidRPr="00361AAC">
        <w:rPr>
          <w:rFonts w:cs="Arial"/>
        </w:rPr>
        <w:t>Non-uniformity Characterization</w:t>
      </w:r>
      <w:bookmarkEnd w:id="0"/>
      <w:bookmarkEnd w:id="1"/>
      <w:bookmarkEnd w:id="2"/>
      <w:bookmarkEnd w:id="3"/>
    </w:p>
    <w:p w:rsidR="009310C3" w:rsidRPr="00361AAC" w:rsidRDefault="009310C3" w:rsidP="009310C3">
      <w:pPr>
        <w:pStyle w:val="Heading4"/>
        <w:rPr>
          <w:rFonts w:cs="Arial"/>
        </w:rPr>
      </w:pPr>
      <w:bookmarkStart w:id="4" w:name="_Toc340837734"/>
      <w:bookmarkStart w:id="5" w:name="_Toc345687979"/>
      <w:r w:rsidRPr="00361AAC">
        <w:rPr>
          <w:rFonts w:cs="Arial"/>
        </w:rPr>
        <w:t>Background</w:t>
      </w:r>
      <w:bookmarkEnd w:id="4"/>
      <w:bookmarkEnd w:id="5"/>
    </w:p>
    <w:p w:rsidR="009310C3" w:rsidRPr="00361AAC" w:rsidRDefault="009310C3" w:rsidP="009310C3">
      <w:pPr>
        <w:rPr>
          <w:rFonts w:cs="Arial"/>
        </w:rPr>
      </w:pPr>
      <w:r w:rsidRPr="00361AAC">
        <w:rPr>
          <w:rFonts w:cs="Arial"/>
        </w:rPr>
        <w:t xml:space="preserve">Streaking, Banding, and Full Field Of View (FFOV) Uniformity characterizations provide 4 different measures of detector uniformity.  All characterizations will generate metrics for uniformity and stability of uniformity assessments, both prelaunch and </w:t>
      </w:r>
      <w:proofErr w:type="spellStart"/>
      <w:r w:rsidRPr="00361AAC">
        <w:rPr>
          <w:rFonts w:cs="Arial"/>
        </w:rPr>
        <w:t>postlaunch</w:t>
      </w:r>
      <w:proofErr w:type="spellEnd"/>
      <w:r w:rsidRPr="00361AAC">
        <w:rPr>
          <w:rFonts w:cs="Arial"/>
        </w:rPr>
        <w:t xml:space="preserve">.  In the latter case, these will be characterizations will be used for Key Performance Requirement verification.  </w:t>
      </w:r>
    </w:p>
    <w:p w:rsidR="009310C3" w:rsidRPr="00361AAC" w:rsidRDefault="009310C3" w:rsidP="009310C3">
      <w:pPr>
        <w:ind w:left="720"/>
        <w:rPr>
          <w:rFonts w:cs="Arial"/>
        </w:rPr>
      </w:pPr>
    </w:p>
    <w:p w:rsidR="009310C3" w:rsidRPr="00361AAC" w:rsidRDefault="009310C3" w:rsidP="009310C3">
      <w:pPr>
        <w:rPr>
          <w:rFonts w:cs="Arial"/>
        </w:rPr>
      </w:pPr>
      <w:r w:rsidRPr="00361AAC">
        <w:rPr>
          <w:rFonts w:cs="Arial"/>
        </w:rPr>
        <w:t>FFOV Uniformity: the standard deviation of all detector column average radiances across the FFOV within a band shall not exceed 0.5% of the average radiance</w:t>
      </w:r>
    </w:p>
    <w:p w:rsidR="009310C3" w:rsidRPr="00361AAC" w:rsidRDefault="009310C3" w:rsidP="009310C3">
      <w:pPr>
        <w:ind w:left="720"/>
        <w:rPr>
          <w:rFonts w:cs="Arial"/>
        </w:rPr>
      </w:pPr>
    </w:p>
    <w:p w:rsidR="009310C3" w:rsidRPr="00361AAC" w:rsidRDefault="009310C3" w:rsidP="009310C3">
      <w:pPr>
        <w:rPr>
          <w:rFonts w:cs="Arial"/>
        </w:rPr>
      </w:pPr>
      <w:r w:rsidRPr="00361AAC">
        <w:rPr>
          <w:rFonts w:cs="Arial"/>
        </w:rPr>
        <w:t xml:space="preserve">There are 2 methods for characterizing Banding. </w:t>
      </w:r>
    </w:p>
    <w:p w:rsidR="009310C3" w:rsidRPr="00361AAC" w:rsidRDefault="009310C3" w:rsidP="009310C3">
      <w:pPr>
        <w:rPr>
          <w:rFonts w:cs="Arial"/>
        </w:rPr>
      </w:pPr>
      <w:r w:rsidRPr="00361AAC">
        <w:rPr>
          <w:rFonts w:cs="Arial"/>
        </w:rPr>
        <w:t xml:space="preserve">Method A: The root mean square of the deviation from the average radiance across the full FOV for any 100 contiguous detector column averages of </w:t>
      </w:r>
      <w:proofErr w:type="spellStart"/>
      <w:r w:rsidRPr="00361AAC">
        <w:rPr>
          <w:rFonts w:cs="Arial"/>
        </w:rPr>
        <w:t>radiometrically</w:t>
      </w:r>
      <w:proofErr w:type="spellEnd"/>
      <w:r w:rsidRPr="00361AAC">
        <w:rPr>
          <w:rFonts w:cs="Arial"/>
        </w:rPr>
        <w:t xml:space="preserve"> corrected </w:t>
      </w:r>
      <w:r>
        <w:rPr>
          <w:rFonts w:cs="Arial"/>
        </w:rPr>
        <w:t>OLI</w:t>
      </w:r>
      <w:r w:rsidRPr="00361AAC">
        <w:rPr>
          <w:rFonts w:cs="Arial"/>
        </w:rPr>
        <w:t xml:space="preserve"> image data within a band. This banding specification is met when the metric</w:t>
      </w:r>
      <w:r w:rsidRPr="00361AAC" w:rsidDel="0032167E">
        <w:rPr>
          <w:rFonts w:cs="Arial"/>
        </w:rPr>
        <w:t xml:space="preserve"> is</w:t>
      </w:r>
      <w:r w:rsidRPr="00361AAC">
        <w:rPr>
          <w:rFonts w:cs="Arial"/>
        </w:rPr>
        <w:t xml:space="preserve"> less than or equal to 1.0% for </w:t>
      </w:r>
      <w:r>
        <w:rPr>
          <w:rFonts w:cs="Arial"/>
        </w:rPr>
        <w:t>OLI</w:t>
      </w:r>
      <w:r w:rsidRPr="00361AAC">
        <w:rPr>
          <w:rFonts w:cs="Arial"/>
        </w:rPr>
        <w:t xml:space="preserve"> and 0.5% for </w:t>
      </w:r>
      <w:r>
        <w:rPr>
          <w:rFonts w:cs="Arial"/>
        </w:rPr>
        <w:t>TIRS</w:t>
      </w:r>
      <w:r w:rsidRPr="00361AAC">
        <w:rPr>
          <w:rFonts w:cs="Arial"/>
        </w:rPr>
        <w:t xml:space="preserve"> of th</w:t>
      </w:r>
      <w:r w:rsidRPr="00361AAC" w:rsidDel="00887772">
        <w:rPr>
          <w:rFonts w:cs="Arial"/>
        </w:rPr>
        <w:t>e</w:t>
      </w:r>
      <w:r w:rsidRPr="00361AAC">
        <w:rPr>
          <w:rFonts w:cs="Arial"/>
        </w:rPr>
        <w:t xml:space="preserve"> band average radiance. </w:t>
      </w:r>
    </w:p>
    <w:p w:rsidR="009310C3" w:rsidRPr="00361AAC" w:rsidRDefault="009310C3" w:rsidP="009310C3">
      <w:pPr>
        <w:rPr>
          <w:rFonts w:cs="Arial"/>
        </w:rPr>
      </w:pPr>
    </w:p>
    <w:p w:rsidR="009310C3" w:rsidRPr="00361AAC" w:rsidRDefault="009310C3" w:rsidP="009310C3">
      <w:pPr>
        <w:rPr>
          <w:rFonts w:cs="Arial"/>
        </w:rPr>
      </w:pPr>
      <w:r w:rsidRPr="00361AAC">
        <w:rPr>
          <w:rFonts w:cs="Arial"/>
        </w:rPr>
        <w:t xml:space="preserve">Method B: The standard deviation of the </w:t>
      </w:r>
      <w:proofErr w:type="spellStart"/>
      <w:r w:rsidRPr="00361AAC">
        <w:rPr>
          <w:rFonts w:cs="Arial"/>
        </w:rPr>
        <w:t>radiometrically</w:t>
      </w:r>
      <w:proofErr w:type="spellEnd"/>
      <w:r w:rsidRPr="00361AAC">
        <w:rPr>
          <w:rFonts w:cs="Arial"/>
        </w:rPr>
        <w:t xml:space="preserve"> corrected values across any 100 contiguous detector column averages of </w:t>
      </w:r>
      <w:r>
        <w:rPr>
          <w:rFonts w:cs="Arial"/>
        </w:rPr>
        <w:t>OLI</w:t>
      </w:r>
      <w:r w:rsidRPr="00361AAC">
        <w:rPr>
          <w:rFonts w:cs="Arial"/>
        </w:rPr>
        <w:t xml:space="preserve"> image data within a band. This banding requirement is met when the metric is less than or equal to 0.25% for </w:t>
      </w:r>
      <w:r>
        <w:rPr>
          <w:rFonts w:cs="Arial"/>
        </w:rPr>
        <w:t>OLI</w:t>
      </w:r>
      <w:r w:rsidRPr="00361AAC">
        <w:rPr>
          <w:rFonts w:cs="Arial"/>
        </w:rPr>
        <w:t xml:space="preserve"> and 0.5% for </w:t>
      </w:r>
      <w:r>
        <w:rPr>
          <w:rFonts w:cs="Arial"/>
        </w:rPr>
        <w:t>TIRS</w:t>
      </w:r>
      <w:r w:rsidRPr="00361AAC">
        <w:rPr>
          <w:rFonts w:cs="Arial"/>
        </w:rPr>
        <w:t xml:space="preserve"> of the average radiance across the 100 detector columns. </w:t>
      </w:r>
    </w:p>
    <w:p w:rsidR="009310C3" w:rsidRPr="00361AAC" w:rsidRDefault="009310C3" w:rsidP="009310C3">
      <w:pPr>
        <w:rPr>
          <w:rFonts w:cs="Arial"/>
        </w:rPr>
      </w:pPr>
    </w:p>
    <w:p w:rsidR="009310C3" w:rsidRPr="00361AAC" w:rsidRDefault="009310C3" w:rsidP="009310C3">
      <w:pPr>
        <w:rPr>
          <w:rFonts w:cs="Arial"/>
        </w:rPr>
      </w:pPr>
      <w:r w:rsidRPr="00361AAC" w:rsidDel="00897178">
        <w:rPr>
          <w:rFonts w:cs="Arial"/>
        </w:rPr>
        <w:t>S</w:t>
      </w:r>
      <w:r w:rsidRPr="00361AAC">
        <w:rPr>
          <w:rFonts w:cs="Arial"/>
        </w:rPr>
        <w:t xml:space="preserve">treaking is measured across any 3 contiguous detector column averages, across the FOV. The streaking requirement is met when the metric </w:t>
      </w:r>
      <w:r w:rsidRPr="00361AAC" w:rsidDel="0032167E">
        <w:rPr>
          <w:rFonts w:cs="Arial"/>
        </w:rPr>
        <w:t xml:space="preserve">is </w:t>
      </w:r>
      <w:r w:rsidRPr="00361AAC">
        <w:rPr>
          <w:rFonts w:cs="Arial"/>
        </w:rPr>
        <w:t xml:space="preserve">less than 0.005 for </w:t>
      </w:r>
      <w:r>
        <w:rPr>
          <w:rFonts w:cs="Arial"/>
        </w:rPr>
        <w:t>OLI</w:t>
      </w:r>
      <w:r w:rsidRPr="00361AAC">
        <w:rPr>
          <w:rFonts w:cs="Arial"/>
        </w:rPr>
        <w:t xml:space="preserve"> bands 1-7 and 9, and 0.01 for the </w:t>
      </w:r>
      <w:r>
        <w:rPr>
          <w:rFonts w:cs="Arial"/>
        </w:rPr>
        <w:t>OLI</w:t>
      </w:r>
      <w:r w:rsidRPr="00361AAC">
        <w:rPr>
          <w:rFonts w:cs="Arial"/>
        </w:rPr>
        <w:t xml:space="preserve"> panchromatic band or 0.005 for the </w:t>
      </w:r>
      <w:r>
        <w:rPr>
          <w:rFonts w:cs="Arial"/>
        </w:rPr>
        <w:t>TIRS</w:t>
      </w:r>
      <w:r w:rsidRPr="00361AAC">
        <w:rPr>
          <w:rFonts w:cs="Arial"/>
        </w:rPr>
        <w:t xml:space="preserve"> bands. The streaking parameter is defined below.</w:t>
      </w:r>
    </w:p>
    <w:p w:rsidR="009310C3" w:rsidRPr="00361AAC" w:rsidRDefault="009310C3" w:rsidP="009310C3">
      <w:pPr>
        <w:rPr>
          <w:rFonts w:cs="Arial"/>
        </w:rPr>
      </w:pPr>
    </w:p>
    <w:p w:rsidR="009310C3" w:rsidRPr="00361AAC" w:rsidRDefault="009310C3" w:rsidP="009310C3">
      <w:pPr>
        <w:rPr>
          <w:rFonts w:cs="Arial"/>
        </w:rPr>
      </w:pPr>
      <w:r w:rsidRPr="00361AAC">
        <w:rPr>
          <w:rFonts w:cs="Arial"/>
        </w:rPr>
        <w:t xml:space="preserve">For </w:t>
      </w:r>
      <w:r>
        <w:rPr>
          <w:rFonts w:cs="Arial"/>
        </w:rPr>
        <w:t>OLI</w:t>
      </w:r>
      <w:r w:rsidRPr="00361AAC">
        <w:rPr>
          <w:rFonts w:cs="Arial"/>
        </w:rPr>
        <w:t>, this algorithm is intended to work primarily on solar scenes, though the capability to process uniform Earth scenes should be included; verification of the requirements at 2*</w:t>
      </w:r>
      <w:proofErr w:type="spellStart"/>
      <w:r w:rsidRPr="00361AAC">
        <w:rPr>
          <w:rFonts w:cs="Arial"/>
        </w:rPr>
        <w:t>Ltyp</w:t>
      </w:r>
      <w:proofErr w:type="spellEnd"/>
      <w:r w:rsidRPr="00361AAC">
        <w:rPr>
          <w:rFonts w:cs="Arial"/>
        </w:rPr>
        <w:t xml:space="preserve"> will require extra analysis.  For </w:t>
      </w:r>
      <w:r>
        <w:rPr>
          <w:rFonts w:cs="Arial"/>
        </w:rPr>
        <w:t>TIRS</w:t>
      </w:r>
      <w:r w:rsidRPr="00361AAC">
        <w:rPr>
          <w:rFonts w:cs="Arial"/>
        </w:rPr>
        <w:t xml:space="preserve">, this algorithm should be run on blackbody scenes with a temperature set point between 260 and </w:t>
      </w:r>
      <w:proofErr w:type="gramStart"/>
      <w:r w:rsidRPr="00361AAC">
        <w:rPr>
          <w:rFonts w:cs="Arial"/>
        </w:rPr>
        <w:t>330K .</w:t>
      </w:r>
      <w:proofErr w:type="gramEnd"/>
      <w:r w:rsidRPr="00361AAC">
        <w:rPr>
          <w:rFonts w:cs="Arial"/>
        </w:rPr>
        <w:t xml:space="preserve">  </w:t>
      </w:r>
    </w:p>
    <w:p w:rsidR="009310C3" w:rsidRPr="00361AAC" w:rsidRDefault="009310C3" w:rsidP="009310C3">
      <w:pPr>
        <w:rPr>
          <w:rFonts w:cs="Arial"/>
        </w:rPr>
      </w:pPr>
    </w:p>
    <w:p w:rsidR="009310C3" w:rsidRPr="00361AAC" w:rsidRDefault="009310C3" w:rsidP="009310C3">
      <w:pPr>
        <w:rPr>
          <w:rFonts w:cs="Arial"/>
        </w:rPr>
      </w:pPr>
      <w:r w:rsidRPr="00361AAC" w:rsidDel="00897178">
        <w:rPr>
          <w:rFonts w:cs="Arial"/>
        </w:rPr>
        <w:t>Based on the current process flow:  T</w:t>
      </w:r>
      <w:r w:rsidRPr="00361AAC">
        <w:rPr>
          <w:rFonts w:cs="Arial"/>
        </w:rPr>
        <w:t>hese characterizations should be performed on radiance data.  The Histogram Statistics Characterization module is performed on bias-corrected and linearized image data, but before the gains and relative gains have been applied.  The non-uniformity characterization will not operate on the image data, but rather will use the Histogram Statistics in the database.  Therefore, the algorithm will need to apply the gains from the database/CPF to convert the histogram means to radiance.</w:t>
      </w:r>
    </w:p>
    <w:p w:rsidR="009310C3" w:rsidRPr="00361AAC" w:rsidRDefault="009310C3" w:rsidP="009310C3">
      <w:pPr>
        <w:rPr>
          <w:rFonts w:cs="Arial"/>
        </w:rPr>
      </w:pPr>
    </w:p>
    <w:p w:rsidR="009310C3" w:rsidRPr="00361AAC" w:rsidRDefault="009310C3" w:rsidP="009310C3">
      <w:pPr>
        <w:rPr>
          <w:rFonts w:cs="Arial"/>
        </w:rPr>
      </w:pPr>
      <w:r w:rsidRPr="00361AAC">
        <w:rPr>
          <w:rFonts w:cs="Arial"/>
        </w:rPr>
        <w:t xml:space="preserve">Analysis of the output data will determine whether, initially, the Non-Uniformity specification is being met and then, later, whether there are changes in uniformity across the focal plane.  This algorithm requires a uniform scene or a scene of known non-uniformity.  For </w:t>
      </w:r>
      <w:r>
        <w:rPr>
          <w:rFonts w:cs="Arial"/>
        </w:rPr>
        <w:t>OLI</w:t>
      </w:r>
      <w:r w:rsidRPr="00361AAC">
        <w:rPr>
          <w:rFonts w:cs="Arial"/>
        </w:rPr>
        <w:t xml:space="preserve">, </w:t>
      </w:r>
      <w:r w:rsidRPr="00361AAC" w:rsidDel="00887772">
        <w:rPr>
          <w:rFonts w:cs="Arial"/>
        </w:rPr>
        <w:t>t</w:t>
      </w:r>
      <w:r w:rsidRPr="00361AAC">
        <w:rPr>
          <w:rFonts w:cs="Arial"/>
        </w:rPr>
        <w:t>he only target that is expected to meet this requirement is the solar diffuser.  Therefore this algorithm may only be useful for characterizing the non-</w:t>
      </w:r>
      <w:r w:rsidRPr="00361AAC">
        <w:rPr>
          <w:rFonts w:cs="Arial"/>
        </w:rPr>
        <w:lastRenderedPageBreak/>
        <w:t xml:space="preserve">uniformity performance, particularly the full field of view uniformity, on one spectral target, as opposed to the three indicated in the requirement.  For </w:t>
      </w:r>
      <w:r>
        <w:rPr>
          <w:rFonts w:cs="Arial"/>
        </w:rPr>
        <w:t>TIRS</w:t>
      </w:r>
      <w:r w:rsidRPr="00361AAC">
        <w:rPr>
          <w:rFonts w:cs="Arial"/>
        </w:rPr>
        <w:t>, the blackbody will be operated at multiple temperature set points.  Each of these blackbody images should be useful in characterizing the banding and streaking over the range of typical Earth temperatures</w:t>
      </w:r>
    </w:p>
    <w:p w:rsidR="009310C3" w:rsidRPr="00361AAC" w:rsidRDefault="009310C3" w:rsidP="009310C3">
      <w:pPr>
        <w:rPr>
          <w:rFonts w:cs="Arial"/>
        </w:rPr>
      </w:pPr>
    </w:p>
    <w:p w:rsidR="009310C3" w:rsidRPr="00361AAC" w:rsidRDefault="009310C3" w:rsidP="009310C3">
      <w:pPr>
        <w:rPr>
          <w:rFonts w:cs="Arial"/>
        </w:rPr>
      </w:pPr>
      <w:r w:rsidRPr="00361AAC">
        <w:rPr>
          <w:rFonts w:cs="Arial"/>
        </w:rPr>
        <w:t xml:space="preserve">Note: the notation in this version of the banding equations has been modified from the </w:t>
      </w:r>
      <w:r>
        <w:rPr>
          <w:rFonts w:cs="Arial"/>
        </w:rPr>
        <w:t>OLI</w:t>
      </w:r>
      <w:r w:rsidRPr="00361AAC">
        <w:rPr>
          <w:rFonts w:cs="Arial"/>
        </w:rPr>
        <w:t xml:space="preserve"> Requirements Document for clarification.</w:t>
      </w:r>
    </w:p>
    <w:p w:rsidR="009310C3" w:rsidRPr="00361AAC" w:rsidRDefault="009310C3" w:rsidP="009310C3">
      <w:pPr>
        <w:rPr>
          <w:rFonts w:cs="Arial"/>
        </w:rPr>
      </w:pPr>
    </w:p>
    <w:p w:rsidR="009310C3" w:rsidRPr="00361AAC" w:rsidRDefault="009310C3" w:rsidP="009310C3">
      <w:pPr>
        <w:pStyle w:val="Heading4"/>
        <w:rPr>
          <w:rFonts w:cs="Arial"/>
        </w:rPr>
      </w:pPr>
      <w:bookmarkStart w:id="6" w:name="_Toc340837735"/>
      <w:bookmarkStart w:id="7" w:name="_Toc345687980"/>
      <w:r w:rsidRPr="00361AAC">
        <w:rPr>
          <w:rFonts w:cs="Arial"/>
        </w:rPr>
        <w:t>Inputs</w:t>
      </w:r>
      <w:bookmarkEnd w:id="6"/>
      <w:bookmarkEnd w:id="7"/>
      <w:r w:rsidRPr="00361AAC">
        <w:rPr>
          <w:rFonts w:cs="Arial"/>
        </w:rPr>
        <w:tab/>
      </w:r>
    </w:p>
    <w:p w:rsidR="009310C3" w:rsidRPr="00361AAC" w:rsidRDefault="009310C3" w:rsidP="009310C3">
      <w:pPr>
        <w:rPr>
          <w:rFonts w:cs="Arial"/>
        </w:rPr>
      </w:pPr>
      <w:r w:rsidRPr="00361AAC">
        <w:rPr>
          <w:rFonts w:cs="Arial"/>
        </w:rPr>
        <w:t xml:space="preserve">The inputs to this algorithm come from either the output of other algorithms (DB) or from a set of calibration parameters (CPF).  </w:t>
      </w:r>
      <w:r w:rsidRPr="00361AAC">
        <w:rPr>
          <w:rFonts w:cs="Arial"/>
        </w:rPr>
        <w:fldChar w:fldCharType="begin"/>
      </w:r>
      <w:r w:rsidRPr="00361AAC">
        <w:rPr>
          <w:rFonts w:cs="Arial"/>
        </w:rPr>
        <w:instrText xml:space="preserve"> REF _Ref212882710 \h  \* MERGEFORMAT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39</w:t>
      </w:r>
      <w:r w:rsidRPr="00361AAC">
        <w:rPr>
          <w:rFonts w:cs="Arial"/>
        </w:rPr>
        <w:fldChar w:fldCharType="end"/>
      </w:r>
      <w:r w:rsidRPr="00361AAC">
        <w:rPr>
          <w:rFonts w:cs="Arial"/>
        </w:rPr>
        <w:t xml:space="preserve"> lists the inputs of this algorithm.</w:t>
      </w:r>
    </w:p>
    <w:p w:rsidR="009310C3" w:rsidRPr="00361AAC" w:rsidRDefault="009310C3" w:rsidP="009310C3">
      <w:pPr>
        <w:rPr>
          <w:rFonts w:cs="Arial"/>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1601"/>
        <w:gridCol w:w="1239"/>
        <w:gridCol w:w="899"/>
        <w:gridCol w:w="1455"/>
        <w:gridCol w:w="950"/>
      </w:tblGrid>
      <w:tr w:rsidR="009310C3" w:rsidRPr="00361AAC" w:rsidTr="00132F6D">
        <w:trPr>
          <w:trHeight w:val="300"/>
          <w:jc w:val="center"/>
        </w:trPr>
        <w:tc>
          <w:tcPr>
            <w:tcW w:w="2690" w:type="dxa"/>
            <w:vAlign w:val="bottom"/>
          </w:tcPr>
          <w:p w:rsidR="009310C3" w:rsidRPr="00361AAC" w:rsidRDefault="009310C3" w:rsidP="00132F6D">
            <w:pPr>
              <w:rPr>
                <w:rFonts w:cs="Arial"/>
                <w:b/>
                <w:sz w:val="20"/>
                <w:szCs w:val="20"/>
              </w:rPr>
            </w:pPr>
            <w:r w:rsidRPr="00361AAC">
              <w:rPr>
                <w:rFonts w:cs="Arial"/>
                <w:b/>
                <w:sz w:val="20"/>
                <w:szCs w:val="20"/>
              </w:rPr>
              <w:t>Descriptions</w:t>
            </w:r>
          </w:p>
        </w:tc>
        <w:tc>
          <w:tcPr>
            <w:tcW w:w="1601" w:type="dxa"/>
          </w:tcPr>
          <w:p w:rsidR="009310C3" w:rsidRPr="00361AAC" w:rsidRDefault="009310C3" w:rsidP="00132F6D">
            <w:pPr>
              <w:jc w:val="center"/>
              <w:rPr>
                <w:rFonts w:cs="Arial"/>
                <w:b/>
                <w:sz w:val="20"/>
                <w:szCs w:val="20"/>
              </w:rPr>
            </w:pPr>
            <w:r w:rsidRPr="00361AAC">
              <w:rPr>
                <w:rFonts w:cs="Arial"/>
                <w:b/>
                <w:sz w:val="20"/>
                <w:szCs w:val="20"/>
              </w:rPr>
              <w:t>Symbol</w:t>
            </w:r>
          </w:p>
        </w:tc>
        <w:tc>
          <w:tcPr>
            <w:tcW w:w="1239" w:type="dxa"/>
          </w:tcPr>
          <w:p w:rsidR="009310C3" w:rsidRPr="00361AAC" w:rsidRDefault="009310C3" w:rsidP="00132F6D">
            <w:pPr>
              <w:rPr>
                <w:rFonts w:cs="Arial"/>
                <w:b/>
                <w:sz w:val="20"/>
                <w:szCs w:val="20"/>
              </w:rPr>
            </w:pPr>
            <w:r w:rsidRPr="00361AAC">
              <w:rPr>
                <w:rFonts w:cs="Arial"/>
                <w:b/>
                <w:sz w:val="20"/>
                <w:szCs w:val="20"/>
              </w:rPr>
              <w:t>Units</w:t>
            </w:r>
          </w:p>
        </w:tc>
        <w:tc>
          <w:tcPr>
            <w:tcW w:w="899" w:type="dxa"/>
            <w:shd w:val="clear" w:color="auto" w:fill="auto"/>
            <w:noWrap/>
            <w:vAlign w:val="bottom"/>
          </w:tcPr>
          <w:p w:rsidR="009310C3" w:rsidRPr="00361AAC" w:rsidRDefault="009310C3" w:rsidP="00132F6D">
            <w:pPr>
              <w:rPr>
                <w:rFonts w:cs="Arial"/>
                <w:b/>
                <w:sz w:val="20"/>
                <w:szCs w:val="20"/>
              </w:rPr>
            </w:pPr>
            <w:r w:rsidRPr="00361AAC">
              <w:rPr>
                <w:rFonts w:cs="Arial"/>
                <w:b/>
                <w:sz w:val="20"/>
                <w:szCs w:val="20"/>
              </w:rPr>
              <w:t xml:space="preserve">Level </w:t>
            </w:r>
          </w:p>
        </w:tc>
        <w:tc>
          <w:tcPr>
            <w:tcW w:w="1455" w:type="dxa"/>
            <w:shd w:val="clear" w:color="auto" w:fill="auto"/>
            <w:noWrap/>
            <w:vAlign w:val="bottom"/>
          </w:tcPr>
          <w:p w:rsidR="009310C3" w:rsidRPr="00361AAC" w:rsidRDefault="009310C3" w:rsidP="00132F6D">
            <w:pPr>
              <w:rPr>
                <w:rFonts w:cs="Arial"/>
                <w:b/>
                <w:sz w:val="20"/>
                <w:szCs w:val="20"/>
              </w:rPr>
            </w:pPr>
            <w:r w:rsidRPr="00361AAC">
              <w:rPr>
                <w:rFonts w:cs="Arial"/>
                <w:b/>
                <w:sz w:val="20"/>
                <w:szCs w:val="20"/>
              </w:rPr>
              <w:t>Source</w:t>
            </w:r>
          </w:p>
        </w:tc>
        <w:tc>
          <w:tcPr>
            <w:tcW w:w="950" w:type="dxa"/>
            <w:shd w:val="clear" w:color="auto" w:fill="auto"/>
            <w:noWrap/>
            <w:vAlign w:val="bottom"/>
          </w:tcPr>
          <w:p w:rsidR="009310C3" w:rsidRPr="00361AAC" w:rsidRDefault="009310C3" w:rsidP="00132F6D">
            <w:pPr>
              <w:rPr>
                <w:rFonts w:cs="Arial"/>
                <w:b/>
                <w:sz w:val="20"/>
                <w:szCs w:val="20"/>
              </w:rPr>
            </w:pPr>
            <w:r w:rsidRPr="00361AAC">
              <w:rPr>
                <w:rFonts w:cs="Arial"/>
                <w:b/>
                <w:sz w:val="20"/>
                <w:szCs w:val="20"/>
              </w:rPr>
              <w:t>Type</w:t>
            </w:r>
          </w:p>
        </w:tc>
      </w:tr>
      <w:tr w:rsidR="009310C3" w:rsidRPr="00361AAC" w:rsidTr="00132F6D">
        <w:trPr>
          <w:trHeight w:val="300"/>
          <w:jc w:val="center"/>
        </w:trPr>
        <w:tc>
          <w:tcPr>
            <w:tcW w:w="2690" w:type="dxa"/>
            <w:vAlign w:val="bottom"/>
          </w:tcPr>
          <w:p w:rsidR="009310C3" w:rsidRPr="00361AAC" w:rsidDel="003B5143" w:rsidRDefault="009310C3" w:rsidP="00132F6D">
            <w:pPr>
              <w:rPr>
                <w:rFonts w:cs="Arial"/>
                <w:sz w:val="20"/>
                <w:szCs w:val="20"/>
              </w:rPr>
            </w:pPr>
            <w:r w:rsidRPr="00361AAC" w:rsidDel="003B5143">
              <w:rPr>
                <w:rFonts w:cs="Arial"/>
                <w:sz w:val="20"/>
                <w:szCs w:val="20"/>
              </w:rPr>
              <w:t>D</w:t>
            </w:r>
            <w:r w:rsidRPr="00361AAC">
              <w:rPr>
                <w:rFonts w:cs="Arial"/>
                <w:sz w:val="20"/>
                <w:szCs w:val="20"/>
              </w:rPr>
              <w:t xml:space="preserve">etector means (bias corrected, linearized only) </w:t>
            </w:r>
          </w:p>
        </w:tc>
        <w:tc>
          <w:tcPr>
            <w:tcW w:w="1601" w:type="dxa"/>
          </w:tcPr>
          <w:p w:rsidR="009310C3" w:rsidRPr="00361AAC" w:rsidDel="003B5143" w:rsidRDefault="009310C3" w:rsidP="00132F6D">
            <w:pPr>
              <w:rPr>
                <w:rFonts w:cs="Arial"/>
                <w:sz w:val="20"/>
                <w:szCs w:val="20"/>
                <w:vertAlign w:val="subscript"/>
              </w:rPr>
            </w:pPr>
            <w:r w:rsidRPr="00361AAC" w:rsidDel="003B5143">
              <w:rPr>
                <w:rFonts w:cs="Arial"/>
                <w:sz w:val="20"/>
                <w:szCs w:val="20"/>
              </w:rPr>
              <w:t>Q</w:t>
            </w:r>
            <w:r w:rsidRPr="00361AAC" w:rsidDel="003B5143">
              <w:rPr>
                <w:rFonts w:cs="Arial"/>
                <w:sz w:val="20"/>
                <w:szCs w:val="20"/>
                <w:vertAlign w:val="subscript"/>
              </w:rPr>
              <w:t>i</w:t>
            </w:r>
          </w:p>
        </w:tc>
        <w:tc>
          <w:tcPr>
            <w:tcW w:w="1239" w:type="dxa"/>
          </w:tcPr>
          <w:p w:rsidR="009310C3" w:rsidRPr="00361AAC" w:rsidDel="003B5143" w:rsidRDefault="009310C3" w:rsidP="00132F6D">
            <w:pPr>
              <w:rPr>
                <w:rFonts w:cs="Arial"/>
                <w:sz w:val="20"/>
                <w:szCs w:val="20"/>
              </w:rPr>
            </w:pPr>
            <w:r w:rsidRPr="00361AAC" w:rsidDel="003B5143">
              <w:rPr>
                <w:rFonts w:cs="Arial"/>
                <w:sz w:val="20"/>
                <w:szCs w:val="20"/>
              </w:rPr>
              <w:t>DN</w:t>
            </w:r>
          </w:p>
        </w:tc>
        <w:tc>
          <w:tcPr>
            <w:tcW w:w="899" w:type="dxa"/>
            <w:shd w:val="clear" w:color="auto" w:fill="auto"/>
            <w:noWrap/>
            <w:vAlign w:val="bottom"/>
          </w:tcPr>
          <w:p w:rsidR="009310C3" w:rsidRPr="00361AAC" w:rsidRDefault="009310C3"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455" w:type="dxa"/>
            <w:shd w:val="clear" w:color="auto" w:fill="auto"/>
            <w:noWrap/>
            <w:vAlign w:val="bottom"/>
          </w:tcPr>
          <w:p w:rsidR="009310C3" w:rsidRPr="00361AAC" w:rsidRDefault="009310C3" w:rsidP="00132F6D">
            <w:pPr>
              <w:rPr>
                <w:rFonts w:cs="Arial"/>
                <w:sz w:val="20"/>
                <w:szCs w:val="20"/>
              </w:rPr>
            </w:pPr>
            <w:r w:rsidRPr="00361AAC">
              <w:rPr>
                <w:rFonts w:cs="Arial"/>
                <w:sz w:val="20"/>
                <w:szCs w:val="20"/>
              </w:rPr>
              <w:t>DB (histogram statistics table)</w:t>
            </w:r>
          </w:p>
        </w:tc>
        <w:tc>
          <w:tcPr>
            <w:tcW w:w="950" w:type="dxa"/>
            <w:shd w:val="clear" w:color="auto" w:fill="auto"/>
            <w:noWrap/>
            <w:vAlign w:val="bottom"/>
          </w:tcPr>
          <w:p w:rsidR="009310C3" w:rsidRPr="00361AAC" w:rsidRDefault="009310C3" w:rsidP="00132F6D">
            <w:pPr>
              <w:rPr>
                <w:rFonts w:cs="Arial"/>
                <w:sz w:val="20"/>
                <w:szCs w:val="20"/>
              </w:rPr>
            </w:pPr>
            <w:r w:rsidRPr="00361AAC">
              <w:rPr>
                <w:rFonts w:cs="Arial"/>
                <w:sz w:val="20"/>
                <w:szCs w:val="20"/>
              </w:rPr>
              <w:t>float</w:t>
            </w:r>
          </w:p>
        </w:tc>
      </w:tr>
      <w:tr w:rsidR="009310C3" w:rsidRPr="00361AAC" w:rsidTr="00132F6D">
        <w:trPr>
          <w:trHeight w:val="300"/>
          <w:jc w:val="center"/>
        </w:trPr>
        <w:tc>
          <w:tcPr>
            <w:tcW w:w="2690" w:type="dxa"/>
            <w:vAlign w:val="bottom"/>
          </w:tcPr>
          <w:p w:rsidR="009310C3" w:rsidRPr="00361AAC" w:rsidDel="007F3374" w:rsidRDefault="009310C3" w:rsidP="00132F6D">
            <w:pPr>
              <w:rPr>
                <w:rFonts w:cs="Arial"/>
                <w:sz w:val="20"/>
                <w:szCs w:val="20"/>
              </w:rPr>
            </w:pPr>
            <w:r w:rsidRPr="00361AAC" w:rsidDel="007F3374">
              <w:rPr>
                <w:rFonts w:cs="Arial"/>
                <w:sz w:val="20"/>
                <w:szCs w:val="20"/>
              </w:rPr>
              <w:t>Gains</w:t>
            </w:r>
          </w:p>
        </w:tc>
        <w:tc>
          <w:tcPr>
            <w:tcW w:w="1601" w:type="dxa"/>
          </w:tcPr>
          <w:p w:rsidR="009310C3" w:rsidRPr="00361AAC" w:rsidDel="007F3374" w:rsidRDefault="009310C3" w:rsidP="00132F6D">
            <w:pPr>
              <w:rPr>
                <w:rFonts w:cs="Arial"/>
                <w:sz w:val="20"/>
                <w:szCs w:val="20"/>
              </w:rPr>
            </w:pPr>
            <w:r w:rsidRPr="00361AAC" w:rsidDel="007F3374">
              <w:rPr>
                <w:rFonts w:cs="Arial"/>
                <w:sz w:val="20"/>
                <w:szCs w:val="20"/>
              </w:rPr>
              <w:t>G</w:t>
            </w:r>
          </w:p>
        </w:tc>
        <w:tc>
          <w:tcPr>
            <w:tcW w:w="1239" w:type="dxa"/>
          </w:tcPr>
          <w:p w:rsidR="009310C3" w:rsidRPr="00361AAC" w:rsidDel="007F3374" w:rsidRDefault="009310C3" w:rsidP="00132F6D">
            <w:pPr>
              <w:rPr>
                <w:rFonts w:cs="Arial"/>
                <w:sz w:val="20"/>
                <w:szCs w:val="20"/>
              </w:rPr>
            </w:pPr>
            <w:r w:rsidRPr="00361AAC" w:rsidDel="007F3374">
              <w:rPr>
                <w:rFonts w:cs="Arial"/>
                <w:sz w:val="20"/>
                <w:szCs w:val="20"/>
              </w:rPr>
              <w:t>DN/(w/m</w:t>
            </w:r>
            <w:r w:rsidRPr="00361AAC" w:rsidDel="007F3374">
              <w:rPr>
                <w:rFonts w:cs="Arial"/>
                <w:sz w:val="20"/>
                <w:szCs w:val="20"/>
                <w:vertAlign w:val="superscript"/>
              </w:rPr>
              <w:t>2</w:t>
            </w:r>
            <w:r w:rsidRPr="00361AAC" w:rsidDel="007F3374">
              <w:rPr>
                <w:rFonts w:cs="Arial"/>
                <w:sz w:val="20"/>
                <w:szCs w:val="20"/>
              </w:rPr>
              <w:t xml:space="preserve"> </w:t>
            </w:r>
            <w:proofErr w:type="spellStart"/>
            <w:r w:rsidRPr="00361AAC" w:rsidDel="007F3374">
              <w:rPr>
                <w:rFonts w:cs="Arial"/>
                <w:sz w:val="20"/>
                <w:szCs w:val="20"/>
              </w:rPr>
              <w:t>sr</w:t>
            </w:r>
            <w:proofErr w:type="spellEnd"/>
            <w:r w:rsidRPr="00361AAC" w:rsidDel="007F3374">
              <w:rPr>
                <w:rFonts w:cs="Arial"/>
                <w:sz w:val="20"/>
                <w:szCs w:val="20"/>
              </w:rPr>
              <w:t xml:space="preserve"> um)</w:t>
            </w:r>
          </w:p>
        </w:tc>
        <w:tc>
          <w:tcPr>
            <w:tcW w:w="899" w:type="dxa"/>
            <w:shd w:val="clear" w:color="auto" w:fill="auto"/>
            <w:noWrap/>
            <w:vAlign w:val="bottom"/>
          </w:tcPr>
          <w:p w:rsidR="009310C3" w:rsidRPr="00361AAC" w:rsidRDefault="009310C3"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w:t>
            </w:r>
          </w:p>
        </w:tc>
        <w:tc>
          <w:tcPr>
            <w:tcW w:w="1455" w:type="dxa"/>
            <w:shd w:val="clear" w:color="auto" w:fill="auto"/>
            <w:noWrap/>
            <w:vAlign w:val="bottom"/>
          </w:tcPr>
          <w:p w:rsidR="009310C3" w:rsidRPr="00361AAC" w:rsidRDefault="009310C3" w:rsidP="00132F6D">
            <w:pPr>
              <w:rPr>
                <w:rFonts w:cs="Arial"/>
                <w:sz w:val="20"/>
                <w:szCs w:val="20"/>
              </w:rPr>
            </w:pPr>
          </w:p>
        </w:tc>
        <w:tc>
          <w:tcPr>
            <w:tcW w:w="950" w:type="dxa"/>
            <w:shd w:val="clear" w:color="auto" w:fill="auto"/>
            <w:noWrap/>
            <w:vAlign w:val="bottom"/>
          </w:tcPr>
          <w:p w:rsidR="009310C3" w:rsidRPr="00361AAC" w:rsidRDefault="009310C3" w:rsidP="00132F6D">
            <w:pPr>
              <w:rPr>
                <w:rFonts w:cs="Arial"/>
                <w:sz w:val="20"/>
                <w:szCs w:val="20"/>
              </w:rPr>
            </w:pPr>
            <w:r w:rsidRPr="00361AAC" w:rsidDel="000B2146">
              <w:rPr>
                <w:rFonts w:cs="Arial"/>
                <w:sz w:val="20"/>
                <w:szCs w:val="20"/>
              </w:rPr>
              <w:t>float</w:t>
            </w:r>
          </w:p>
        </w:tc>
      </w:tr>
      <w:tr w:rsidR="009310C3" w:rsidRPr="00361AAC" w:rsidTr="00132F6D">
        <w:trPr>
          <w:trHeight w:val="300"/>
          <w:jc w:val="center"/>
        </w:trPr>
        <w:tc>
          <w:tcPr>
            <w:tcW w:w="2690" w:type="dxa"/>
            <w:vAlign w:val="bottom"/>
          </w:tcPr>
          <w:p w:rsidR="009310C3" w:rsidRPr="00361AAC" w:rsidDel="002E3548" w:rsidRDefault="009310C3" w:rsidP="00132F6D">
            <w:pPr>
              <w:rPr>
                <w:rFonts w:cs="Arial"/>
                <w:sz w:val="20"/>
                <w:szCs w:val="20"/>
              </w:rPr>
            </w:pPr>
            <w:r w:rsidRPr="00361AAC" w:rsidDel="007F3374">
              <w:rPr>
                <w:rFonts w:cs="Arial"/>
                <w:sz w:val="20"/>
                <w:szCs w:val="20"/>
              </w:rPr>
              <w:t>Relative gains</w:t>
            </w:r>
          </w:p>
        </w:tc>
        <w:tc>
          <w:tcPr>
            <w:tcW w:w="1601" w:type="dxa"/>
          </w:tcPr>
          <w:p w:rsidR="009310C3" w:rsidRPr="00361AAC" w:rsidDel="002E3548" w:rsidRDefault="009310C3" w:rsidP="00132F6D">
            <w:pPr>
              <w:rPr>
                <w:rFonts w:cs="Arial"/>
                <w:sz w:val="20"/>
                <w:szCs w:val="20"/>
                <w:vertAlign w:val="subscript"/>
              </w:rPr>
            </w:pPr>
            <w:proofErr w:type="spellStart"/>
            <w:r w:rsidRPr="00361AAC" w:rsidDel="002E3548">
              <w:rPr>
                <w:rFonts w:cs="Arial"/>
                <w:sz w:val="20"/>
                <w:szCs w:val="20"/>
              </w:rPr>
              <w:t>r</w:t>
            </w:r>
            <w:r w:rsidRPr="00361AAC" w:rsidDel="002E3548">
              <w:rPr>
                <w:rFonts w:cs="Arial"/>
                <w:sz w:val="20"/>
                <w:szCs w:val="20"/>
                <w:vertAlign w:val="subscript"/>
              </w:rPr>
              <w:t>i</w:t>
            </w:r>
            <w:proofErr w:type="spellEnd"/>
          </w:p>
        </w:tc>
        <w:tc>
          <w:tcPr>
            <w:tcW w:w="1239" w:type="dxa"/>
          </w:tcPr>
          <w:p w:rsidR="009310C3" w:rsidRPr="00361AAC" w:rsidDel="002E3548" w:rsidRDefault="009310C3" w:rsidP="00132F6D">
            <w:pPr>
              <w:rPr>
                <w:rFonts w:cs="Arial"/>
                <w:sz w:val="20"/>
                <w:szCs w:val="20"/>
              </w:rPr>
            </w:pPr>
            <w:r w:rsidRPr="00361AAC" w:rsidDel="002E3548">
              <w:rPr>
                <w:rFonts w:cs="Arial"/>
                <w:sz w:val="20"/>
                <w:szCs w:val="20"/>
              </w:rPr>
              <w:t>[]</w:t>
            </w:r>
          </w:p>
        </w:tc>
        <w:tc>
          <w:tcPr>
            <w:tcW w:w="899" w:type="dxa"/>
            <w:shd w:val="clear" w:color="auto" w:fill="auto"/>
            <w:noWrap/>
            <w:vAlign w:val="bottom"/>
          </w:tcPr>
          <w:p w:rsidR="009310C3" w:rsidRPr="00361AAC" w:rsidRDefault="009310C3"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455" w:type="dxa"/>
            <w:shd w:val="clear" w:color="auto" w:fill="auto"/>
            <w:noWrap/>
            <w:vAlign w:val="bottom"/>
          </w:tcPr>
          <w:p w:rsidR="009310C3" w:rsidRPr="00361AAC" w:rsidRDefault="009310C3" w:rsidP="00132F6D">
            <w:pPr>
              <w:rPr>
                <w:rFonts w:cs="Arial"/>
                <w:sz w:val="20"/>
                <w:szCs w:val="20"/>
              </w:rPr>
            </w:pPr>
            <w:r w:rsidRPr="00361AAC" w:rsidDel="007F3374">
              <w:rPr>
                <w:rFonts w:cs="Arial"/>
                <w:sz w:val="20"/>
                <w:szCs w:val="20"/>
              </w:rPr>
              <w:t>CPF</w:t>
            </w:r>
          </w:p>
        </w:tc>
        <w:tc>
          <w:tcPr>
            <w:tcW w:w="950" w:type="dxa"/>
            <w:shd w:val="clear" w:color="auto" w:fill="auto"/>
            <w:noWrap/>
            <w:vAlign w:val="bottom"/>
          </w:tcPr>
          <w:p w:rsidR="009310C3" w:rsidRPr="00361AAC" w:rsidRDefault="009310C3" w:rsidP="00132F6D">
            <w:pPr>
              <w:rPr>
                <w:rFonts w:cs="Arial"/>
                <w:sz w:val="20"/>
                <w:szCs w:val="20"/>
              </w:rPr>
            </w:pPr>
            <w:r w:rsidRPr="00361AAC" w:rsidDel="007F3374">
              <w:rPr>
                <w:rFonts w:cs="Arial"/>
                <w:sz w:val="20"/>
                <w:szCs w:val="20"/>
              </w:rPr>
              <w:t>float</w:t>
            </w:r>
          </w:p>
        </w:tc>
      </w:tr>
      <w:tr w:rsidR="009310C3" w:rsidRPr="00361AAC" w:rsidTr="00132F6D">
        <w:trPr>
          <w:trHeight w:val="300"/>
          <w:jc w:val="center"/>
        </w:trPr>
        <w:tc>
          <w:tcPr>
            <w:tcW w:w="2690" w:type="dxa"/>
            <w:vAlign w:val="bottom"/>
          </w:tcPr>
          <w:p w:rsidR="009310C3" w:rsidRPr="00361AAC" w:rsidRDefault="009310C3" w:rsidP="00132F6D">
            <w:pPr>
              <w:rPr>
                <w:rFonts w:cs="Arial"/>
                <w:sz w:val="20"/>
                <w:szCs w:val="20"/>
              </w:rPr>
            </w:pPr>
            <w:r w:rsidRPr="00361AAC" w:rsidDel="002E3548">
              <w:rPr>
                <w:rFonts w:cs="Arial"/>
                <w:sz w:val="20"/>
                <w:szCs w:val="20"/>
              </w:rPr>
              <w:t>Inoperable detectors, out-of-spec detectors</w:t>
            </w:r>
          </w:p>
        </w:tc>
        <w:tc>
          <w:tcPr>
            <w:tcW w:w="1601" w:type="dxa"/>
          </w:tcPr>
          <w:p w:rsidR="009310C3" w:rsidRPr="00361AAC" w:rsidRDefault="009310C3" w:rsidP="00132F6D">
            <w:pPr>
              <w:rPr>
                <w:rFonts w:cs="Arial"/>
                <w:sz w:val="20"/>
                <w:szCs w:val="20"/>
              </w:rPr>
            </w:pPr>
          </w:p>
        </w:tc>
        <w:tc>
          <w:tcPr>
            <w:tcW w:w="1239" w:type="dxa"/>
          </w:tcPr>
          <w:p w:rsidR="009310C3" w:rsidRPr="00361AAC" w:rsidRDefault="009310C3" w:rsidP="00132F6D">
            <w:pPr>
              <w:rPr>
                <w:rFonts w:cs="Arial"/>
                <w:sz w:val="20"/>
                <w:szCs w:val="20"/>
              </w:rPr>
            </w:pPr>
          </w:p>
        </w:tc>
        <w:tc>
          <w:tcPr>
            <w:tcW w:w="899" w:type="dxa"/>
            <w:shd w:val="clear" w:color="auto" w:fill="auto"/>
            <w:noWrap/>
            <w:vAlign w:val="bottom"/>
          </w:tcPr>
          <w:p w:rsidR="009310C3" w:rsidRPr="00361AAC" w:rsidRDefault="009310C3"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455" w:type="dxa"/>
            <w:shd w:val="clear" w:color="auto" w:fill="auto"/>
            <w:noWrap/>
            <w:vAlign w:val="bottom"/>
          </w:tcPr>
          <w:p w:rsidR="009310C3" w:rsidRPr="00361AAC" w:rsidRDefault="009310C3" w:rsidP="00132F6D">
            <w:pPr>
              <w:rPr>
                <w:rFonts w:cs="Arial"/>
                <w:sz w:val="20"/>
                <w:szCs w:val="20"/>
              </w:rPr>
            </w:pPr>
            <w:r w:rsidRPr="00361AAC" w:rsidDel="002E3548">
              <w:rPr>
                <w:rFonts w:cs="Arial"/>
                <w:sz w:val="20"/>
                <w:szCs w:val="20"/>
              </w:rPr>
              <w:t>CPF</w:t>
            </w:r>
          </w:p>
        </w:tc>
        <w:tc>
          <w:tcPr>
            <w:tcW w:w="950" w:type="dxa"/>
            <w:shd w:val="clear" w:color="auto" w:fill="auto"/>
            <w:noWrap/>
            <w:vAlign w:val="bottom"/>
          </w:tcPr>
          <w:p w:rsidR="009310C3" w:rsidRPr="00361AAC" w:rsidRDefault="009310C3" w:rsidP="00132F6D">
            <w:pPr>
              <w:rPr>
                <w:rFonts w:cs="Arial"/>
                <w:sz w:val="20"/>
                <w:szCs w:val="20"/>
              </w:rPr>
            </w:pPr>
            <w:r w:rsidRPr="00361AAC" w:rsidDel="002E3548">
              <w:rPr>
                <w:rFonts w:cs="Arial"/>
                <w:sz w:val="20"/>
                <w:szCs w:val="20"/>
              </w:rPr>
              <w:t>int</w:t>
            </w:r>
            <w:r w:rsidRPr="00361AAC">
              <w:rPr>
                <w:rFonts w:cs="Arial"/>
                <w:sz w:val="20"/>
                <w:szCs w:val="20"/>
              </w:rPr>
              <w:t>eger</w:t>
            </w:r>
          </w:p>
        </w:tc>
      </w:tr>
      <w:tr w:rsidR="009310C3" w:rsidRPr="00361AAC" w:rsidTr="00132F6D">
        <w:trPr>
          <w:trHeight w:val="300"/>
          <w:jc w:val="center"/>
        </w:trPr>
        <w:tc>
          <w:tcPr>
            <w:tcW w:w="2690" w:type="dxa"/>
            <w:vAlign w:val="bottom"/>
          </w:tcPr>
          <w:p w:rsidR="009310C3" w:rsidRPr="00361AAC" w:rsidRDefault="009310C3" w:rsidP="00132F6D">
            <w:pPr>
              <w:rPr>
                <w:rFonts w:cs="Arial"/>
                <w:sz w:val="20"/>
                <w:szCs w:val="20"/>
              </w:rPr>
            </w:pPr>
            <w:r w:rsidRPr="00361AAC">
              <w:rPr>
                <w:rFonts w:cs="Arial"/>
                <w:sz w:val="20"/>
                <w:szCs w:val="20"/>
              </w:rPr>
              <w:t xml:space="preserve">Solar or blackbody non-uniformity scaling factors </w:t>
            </w:r>
          </w:p>
        </w:tc>
        <w:tc>
          <w:tcPr>
            <w:tcW w:w="1601" w:type="dxa"/>
          </w:tcPr>
          <w:p w:rsidR="009310C3" w:rsidRPr="00361AAC" w:rsidRDefault="009310C3" w:rsidP="00132F6D">
            <w:pPr>
              <w:rPr>
                <w:rFonts w:cs="Arial"/>
                <w:sz w:val="20"/>
                <w:szCs w:val="20"/>
                <w:vertAlign w:val="subscript"/>
              </w:rPr>
            </w:pPr>
            <w:r w:rsidRPr="00361AAC">
              <w:rPr>
                <w:rFonts w:ascii="Symbol" w:hAnsi="Symbol" w:cs="Arial"/>
                <w:sz w:val="20"/>
                <w:szCs w:val="20"/>
              </w:rPr>
              <w:t></w:t>
            </w:r>
            <w:proofErr w:type="spellStart"/>
            <w:r w:rsidRPr="00361AAC">
              <w:rPr>
                <w:rFonts w:cs="Arial"/>
                <w:sz w:val="20"/>
                <w:szCs w:val="20"/>
                <w:vertAlign w:val="subscript"/>
              </w:rPr>
              <w:t>i</w:t>
            </w:r>
            <w:proofErr w:type="spellEnd"/>
          </w:p>
        </w:tc>
        <w:tc>
          <w:tcPr>
            <w:tcW w:w="1239" w:type="dxa"/>
          </w:tcPr>
          <w:p w:rsidR="009310C3" w:rsidRPr="00361AAC" w:rsidRDefault="009310C3" w:rsidP="00132F6D">
            <w:pPr>
              <w:rPr>
                <w:rFonts w:cs="Arial"/>
                <w:sz w:val="20"/>
                <w:szCs w:val="20"/>
              </w:rPr>
            </w:pPr>
            <w:r w:rsidRPr="00361AAC">
              <w:rPr>
                <w:rFonts w:cs="Arial"/>
                <w:sz w:val="20"/>
                <w:szCs w:val="20"/>
              </w:rPr>
              <w:t>[]</w:t>
            </w:r>
          </w:p>
        </w:tc>
        <w:tc>
          <w:tcPr>
            <w:tcW w:w="899" w:type="dxa"/>
            <w:shd w:val="clear" w:color="auto" w:fill="auto"/>
            <w:noWrap/>
            <w:vAlign w:val="bottom"/>
          </w:tcPr>
          <w:p w:rsidR="009310C3" w:rsidRPr="00361AAC" w:rsidRDefault="009310C3"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455" w:type="dxa"/>
            <w:shd w:val="clear" w:color="auto" w:fill="auto"/>
            <w:noWrap/>
            <w:vAlign w:val="bottom"/>
          </w:tcPr>
          <w:p w:rsidR="009310C3" w:rsidRPr="00361AAC" w:rsidRDefault="009310C3" w:rsidP="00132F6D">
            <w:pPr>
              <w:rPr>
                <w:rFonts w:cs="Arial"/>
                <w:sz w:val="20"/>
                <w:szCs w:val="20"/>
              </w:rPr>
            </w:pPr>
            <w:r w:rsidRPr="00361AAC">
              <w:rPr>
                <w:rFonts w:cs="Arial"/>
                <w:sz w:val="20"/>
                <w:szCs w:val="20"/>
              </w:rPr>
              <w:t>CPF</w:t>
            </w:r>
          </w:p>
        </w:tc>
        <w:tc>
          <w:tcPr>
            <w:tcW w:w="950" w:type="dxa"/>
            <w:shd w:val="clear" w:color="auto" w:fill="auto"/>
            <w:noWrap/>
            <w:vAlign w:val="bottom"/>
          </w:tcPr>
          <w:p w:rsidR="009310C3" w:rsidRPr="00361AAC" w:rsidRDefault="009310C3" w:rsidP="00132F6D">
            <w:pPr>
              <w:rPr>
                <w:rFonts w:cs="Arial"/>
                <w:sz w:val="20"/>
                <w:szCs w:val="20"/>
              </w:rPr>
            </w:pPr>
            <w:r w:rsidRPr="00361AAC">
              <w:rPr>
                <w:rFonts w:cs="Arial"/>
                <w:sz w:val="20"/>
                <w:szCs w:val="20"/>
              </w:rPr>
              <w:t>float</w:t>
            </w:r>
          </w:p>
        </w:tc>
      </w:tr>
    </w:tbl>
    <w:p w:rsidR="009310C3" w:rsidRPr="00361AAC" w:rsidRDefault="009310C3" w:rsidP="009310C3">
      <w:pPr>
        <w:pStyle w:val="Caption"/>
        <w:rPr>
          <w:rFonts w:cs="Arial"/>
        </w:rPr>
      </w:pPr>
      <w:bookmarkStart w:id="8" w:name="_Ref212882710"/>
      <w:bookmarkStart w:id="9" w:name="_Toc476818816"/>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39</w:t>
      </w:r>
      <w:r w:rsidRPr="00361AAC">
        <w:rPr>
          <w:rFonts w:cs="Arial"/>
        </w:rPr>
        <w:fldChar w:fldCharType="end"/>
      </w:r>
      <w:bookmarkEnd w:id="8"/>
      <w:r w:rsidRPr="00361AAC">
        <w:rPr>
          <w:rFonts w:cs="Arial"/>
        </w:rPr>
        <w:t>. Algorithm Inputs</w:t>
      </w:r>
      <w:bookmarkEnd w:id="9"/>
    </w:p>
    <w:p w:rsidR="009310C3" w:rsidRPr="00361AAC" w:rsidRDefault="009310C3" w:rsidP="009310C3">
      <w:pPr>
        <w:pStyle w:val="Heading4"/>
        <w:rPr>
          <w:rFonts w:cs="Arial"/>
        </w:rPr>
      </w:pPr>
      <w:bookmarkStart w:id="10" w:name="_Toc340837736"/>
      <w:bookmarkStart w:id="11" w:name="_Toc345687981"/>
      <w:r w:rsidRPr="00361AAC">
        <w:rPr>
          <w:rFonts w:cs="Arial"/>
        </w:rPr>
        <w:t>Outputs</w:t>
      </w:r>
      <w:bookmarkEnd w:id="10"/>
      <w:bookmarkEnd w:id="11"/>
    </w:p>
    <w:p w:rsidR="009310C3" w:rsidRPr="00361AAC" w:rsidRDefault="009310C3" w:rsidP="009310C3">
      <w:pPr>
        <w:rPr>
          <w:rFonts w:cs="Arial"/>
        </w:rPr>
      </w:pPr>
      <w:r w:rsidRPr="00361AAC">
        <w:rPr>
          <w:rFonts w:cs="Arial"/>
        </w:rPr>
        <w:t xml:space="preserve">The outputs of this algorithm are typically stored in the characterization database.  However, an option to store this data to an ASCII text file is needed to support testing.  This reduces inserts into the database as well as speeding up calibration updates.  </w:t>
      </w:r>
      <w:r w:rsidRPr="00361AAC">
        <w:rPr>
          <w:rFonts w:cs="Arial"/>
        </w:rPr>
        <w:fldChar w:fldCharType="begin"/>
      </w:r>
      <w:r w:rsidRPr="00361AAC">
        <w:rPr>
          <w:rFonts w:cs="Arial"/>
        </w:rPr>
        <w:instrText xml:space="preserve"> REF _Ref212878927 \h  \* MERGEFORMAT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40</w:t>
      </w:r>
      <w:r w:rsidRPr="00361AAC">
        <w:rPr>
          <w:rFonts w:cs="Arial"/>
        </w:rPr>
        <w:fldChar w:fldCharType="end"/>
      </w:r>
      <w:r w:rsidRPr="00361AAC">
        <w:rPr>
          <w:rFonts w:cs="Arial"/>
        </w:rPr>
        <w:t xml:space="preserve"> lists the outputs of this algorithm.</w:t>
      </w:r>
    </w:p>
    <w:p w:rsidR="009310C3" w:rsidRPr="00361AAC" w:rsidDel="0032167E" w:rsidRDefault="009310C3" w:rsidP="009310C3">
      <w:pPr>
        <w:rPr>
          <w:rFonts w:cs="Arial"/>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2184"/>
        <w:gridCol w:w="716"/>
        <w:gridCol w:w="1025"/>
        <w:gridCol w:w="1424"/>
        <w:gridCol w:w="828"/>
      </w:tblGrid>
      <w:tr w:rsidR="009310C3" w:rsidRPr="00361AAC" w:rsidTr="00132F6D">
        <w:trPr>
          <w:trHeight w:val="300"/>
          <w:jc w:val="center"/>
        </w:trPr>
        <w:tc>
          <w:tcPr>
            <w:tcW w:w="3066" w:type="dxa"/>
            <w:shd w:val="clear" w:color="auto" w:fill="auto"/>
            <w:noWrap/>
            <w:vAlign w:val="bottom"/>
          </w:tcPr>
          <w:p w:rsidR="009310C3" w:rsidRPr="00361AAC" w:rsidRDefault="009310C3" w:rsidP="00132F6D">
            <w:pPr>
              <w:keepNext/>
              <w:rPr>
                <w:rFonts w:cs="Arial"/>
                <w:b/>
                <w:sz w:val="20"/>
                <w:szCs w:val="20"/>
              </w:rPr>
            </w:pPr>
            <w:r w:rsidRPr="00361AAC">
              <w:rPr>
                <w:rFonts w:cs="Arial"/>
                <w:b/>
                <w:sz w:val="20"/>
                <w:szCs w:val="20"/>
              </w:rPr>
              <w:lastRenderedPageBreak/>
              <w:t>Descriptions</w:t>
            </w:r>
          </w:p>
        </w:tc>
        <w:tc>
          <w:tcPr>
            <w:tcW w:w="2184" w:type="dxa"/>
          </w:tcPr>
          <w:p w:rsidR="009310C3" w:rsidRPr="00361AAC" w:rsidRDefault="009310C3" w:rsidP="00132F6D">
            <w:pPr>
              <w:keepNext/>
              <w:rPr>
                <w:rFonts w:cs="Arial"/>
                <w:b/>
                <w:sz w:val="20"/>
                <w:szCs w:val="20"/>
              </w:rPr>
            </w:pPr>
            <w:r w:rsidRPr="00361AAC">
              <w:rPr>
                <w:rFonts w:cs="Arial"/>
                <w:b/>
                <w:sz w:val="20"/>
                <w:szCs w:val="20"/>
              </w:rPr>
              <w:t>Symbol</w:t>
            </w:r>
          </w:p>
        </w:tc>
        <w:tc>
          <w:tcPr>
            <w:tcW w:w="716" w:type="dxa"/>
          </w:tcPr>
          <w:p w:rsidR="009310C3" w:rsidRPr="00361AAC" w:rsidRDefault="009310C3" w:rsidP="00132F6D">
            <w:pPr>
              <w:keepNext/>
              <w:rPr>
                <w:rFonts w:cs="Arial"/>
                <w:b/>
                <w:sz w:val="20"/>
                <w:szCs w:val="20"/>
              </w:rPr>
            </w:pPr>
            <w:r w:rsidRPr="00361AAC">
              <w:rPr>
                <w:rFonts w:cs="Arial"/>
                <w:b/>
                <w:sz w:val="20"/>
                <w:szCs w:val="20"/>
              </w:rPr>
              <w:t>Units</w:t>
            </w:r>
          </w:p>
        </w:tc>
        <w:tc>
          <w:tcPr>
            <w:tcW w:w="1025" w:type="dxa"/>
            <w:shd w:val="clear" w:color="auto" w:fill="auto"/>
            <w:noWrap/>
            <w:vAlign w:val="bottom"/>
          </w:tcPr>
          <w:p w:rsidR="009310C3" w:rsidRPr="00361AAC" w:rsidRDefault="009310C3" w:rsidP="00132F6D">
            <w:pPr>
              <w:keepNext/>
              <w:rPr>
                <w:rFonts w:cs="Arial"/>
                <w:b/>
                <w:sz w:val="20"/>
                <w:szCs w:val="20"/>
              </w:rPr>
            </w:pPr>
            <w:r w:rsidRPr="00361AAC">
              <w:rPr>
                <w:rFonts w:cs="Arial"/>
                <w:b/>
                <w:sz w:val="20"/>
                <w:szCs w:val="20"/>
              </w:rPr>
              <w:t xml:space="preserve">Level </w:t>
            </w:r>
          </w:p>
        </w:tc>
        <w:tc>
          <w:tcPr>
            <w:tcW w:w="1424" w:type="dxa"/>
            <w:shd w:val="clear" w:color="auto" w:fill="auto"/>
            <w:noWrap/>
            <w:vAlign w:val="bottom"/>
          </w:tcPr>
          <w:p w:rsidR="009310C3" w:rsidRPr="00361AAC" w:rsidRDefault="009310C3" w:rsidP="00132F6D">
            <w:pPr>
              <w:keepNext/>
              <w:rPr>
                <w:rFonts w:cs="Arial"/>
                <w:b/>
                <w:sz w:val="20"/>
                <w:szCs w:val="20"/>
              </w:rPr>
            </w:pPr>
            <w:r w:rsidRPr="00361AAC" w:rsidDel="00C3505B">
              <w:rPr>
                <w:rFonts w:cs="Arial"/>
                <w:b/>
                <w:sz w:val="20"/>
                <w:szCs w:val="20"/>
              </w:rPr>
              <w:t>Target</w:t>
            </w:r>
            <w:r w:rsidRPr="00361AAC">
              <w:rPr>
                <w:rFonts w:cs="Arial"/>
                <w:b/>
                <w:sz w:val="20"/>
                <w:szCs w:val="20"/>
              </w:rPr>
              <w:t xml:space="preserve"> </w:t>
            </w:r>
          </w:p>
        </w:tc>
        <w:tc>
          <w:tcPr>
            <w:tcW w:w="828" w:type="dxa"/>
            <w:shd w:val="clear" w:color="auto" w:fill="auto"/>
            <w:noWrap/>
            <w:vAlign w:val="bottom"/>
          </w:tcPr>
          <w:p w:rsidR="009310C3" w:rsidRPr="00361AAC" w:rsidRDefault="009310C3" w:rsidP="00132F6D">
            <w:pPr>
              <w:keepNext/>
              <w:rPr>
                <w:rFonts w:cs="Arial"/>
                <w:b/>
                <w:sz w:val="20"/>
                <w:szCs w:val="20"/>
              </w:rPr>
            </w:pPr>
            <w:r w:rsidRPr="00361AAC">
              <w:rPr>
                <w:rFonts w:cs="Arial"/>
                <w:b/>
                <w:sz w:val="20"/>
                <w:szCs w:val="20"/>
              </w:rPr>
              <w:t xml:space="preserve">Type </w:t>
            </w:r>
          </w:p>
        </w:tc>
      </w:tr>
      <w:tr w:rsidR="009310C3" w:rsidRPr="00361AAC" w:rsidTr="00132F6D">
        <w:trPr>
          <w:trHeight w:val="300"/>
          <w:jc w:val="center"/>
        </w:trPr>
        <w:tc>
          <w:tcPr>
            <w:tcW w:w="3066" w:type="dxa"/>
            <w:shd w:val="clear" w:color="auto" w:fill="auto"/>
            <w:noWrap/>
            <w:vAlign w:val="bottom"/>
          </w:tcPr>
          <w:p w:rsidR="009310C3" w:rsidRPr="00361AAC" w:rsidRDefault="009310C3" w:rsidP="00132F6D">
            <w:pPr>
              <w:keepNext/>
              <w:rPr>
                <w:rFonts w:cs="Arial"/>
                <w:sz w:val="20"/>
                <w:szCs w:val="20"/>
              </w:rPr>
            </w:pPr>
            <w:proofErr w:type="spellStart"/>
            <w:r w:rsidRPr="00361AAC">
              <w:rPr>
                <w:rFonts w:cs="Arial"/>
                <w:sz w:val="20"/>
                <w:szCs w:val="20"/>
              </w:rPr>
              <w:t>BandingMetric_FFOV</w:t>
            </w:r>
            <w:proofErr w:type="spellEnd"/>
            <w:r w:rsidRPr="00361AAC">
              <w:rPr>
                <w:rFonts w:cs="Arial"/>
                <w:sz w:val="20"/>
                <w:szCs w:val="20"/>
              </w:rPr>
              <w:t xml:space="preserve"> </w:t>
            </w:r>
          </w:p>
        </w:tc>
        <w:tc>
          <w:tcPr>
            <w:tcW w:w="2184" w:type="dxa"/>
          </w:tcPr>
          <w:p w:rsidR="009310C3" w:rsidRPr="00361AAC" w:rsidRDefault="009310C3" w:rsidP="00132F6D">
            <w:pPr>
              <w:keepNext/>
              <w:rPr>
                <w:rFonts w:cs="Arial"/>
                <w:sz w:val="20"/>
                <w:szCs w:val="20"/>
              </w:rPr>
            </w:pPr>
            <w:proofErr w:type="spellStart"/>
            <w:r w:rsidRPr="00361AAC">
              <w:rPr>
                <w:rFonts w:cs="Arial"/>
                <w:sz w:val="20"/>
                <w:szCs w:val="20"/>
              </w:rPr>
              <w:t>B</w:t>
            </w:r>
            <w:r w:rsidRPr="00361AAC">
              <w:rPr>
                <w:rFonts w:cs="Arial"/>
                <w:sz w:val="20"/>
                <w:szCs w:val="20"/>
                <w:vertAlign w:val="subscript"/>
              </w:rPr>
              <w:t>FFOV_i</w:t>
            </w:r>
            <w:r w:rsidRPr="00361AAC">
              <w:rPr>
                <w:rFonts w:cs="Arial"/>
                <w:sz w:val="20"/>
                <w:szCs w:val="20"/>
              </w:rPr>
              <w:t>_percent</w:t>
            </w:r>
            <w:proofErr w:type="spellEnd"/>
          </w:p>
        </w:tc>
        <w:tc>
          <w:tcPr>
            <w:tcW w:w="716" w:type="dxa"/>
          </w:tcPr>
          <w:p w:rsidR="009310C3" w:rsidRPr="00361AAC" w:rsidRDefault="009310C3" w:rsidP="00132F6D">
            <w:pPr>
              <w:keepNext/>
              <w:rPr>
                <w:rFonts w:cs="Arial"/>
                <w:sz w:val="20"/>
                <w:szCs w:val="20"/>
              </w:rPr>
            </w:pPr>
            <w:r w:rsidRPr="00361AAC">
              <w:rPr>
                <w:rFonts w:cs="Arial"/>
                <w:sz w:val="20"/>
                <w:szCs w:val="20"/>
              </w:rPr>
              <w:t>%</w:t>
            </w:r>
          </w:p>
        </w:tc>
        <w:tc>
          <w:tcPr>
            <w:tcW w:w="1025" w:type="dxa"/>
            <w:shd w:val="clear" w:color="auto" w:fill="auto"/>
            <w:noWrap/>
            <w:vAlign w:val="bottom"/>
          </w:tcPr>
          <w:p w:rsidR="009310C3" w:rsidRPr="00361AAC" w:rsidRDefault="009310C3" w:rsidP="00132F6D">
            <w:pPr>
              <w:keepNext/>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r w:rsidRPr="00361AAC">
              <w:rPr>
                <w:rFonts w:cs="Arial"/>
                <w:sz w:val="20"/>
                <w:szCs w:val="20"/>
              </w:rPr>
              <w:t xml:space="preserve"> </w:t>
            </w:r>
          </w:p>
        </w:tc>
        <w:tc>
          <w:tcPr>
            <w:tcW w:w="1424"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Db, report</w:t>
            </w:r>
          </w:p>
        </w:tc>
        <w:tc>
          <w:tcPr>
            <w:tcW w:w="828"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float</w:t>
            </w:r>
          </w:p>
        </w:tc>
      </w:tr>
      <w:tr w:rsidR="009310C3" w:rsidRPr="00361AAC" w:rsidTr="00132F6D">
        <w:trPr>
          <w:trHeight w:val="300"/>
          <w:jc w:val="center"/>
        </w:trPr>
        <w:tc>
          <w:tcPr>
            <w:tcW w:w="3066"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 xml:space="preserve">BandingMetric_per100pix </w:t>
            </w:r>
          </w:p>
        </w:tc>
        <w:tc>
          <w:tcPr>
            <w:tcW w:w="2184" w:type="dxa"/>
          </w:tcPr>
          <w:p w:rsidR="009310C3" w:rsidRPr="00361AAC" w:rsidRDefault="009310C3" w:rsidP="00132F6D">
            <w:pPr>
              <w:keepNext/>
              <w:rPr>
                <w:rFonts w:cs="Arial"/>
                <w:sz w:val="20"/>
                <w:szCs w:val="20"/>
              </w:rPr>
            </w:pPr>
            <w:r w:rsidRPr="00361AAC">
              <w:rPr>
                <w:rFonts w:cs="Arial"/>
                <w:sz w:val="20"/>
                <w:szCs w:val="20"/>
              </w:rPr>
              <w:t>B</w:t>
            </w:r>
            <w:r w:rsidRPr="00361AAC">
              <w:rPr>
                <w:rFonts w:cs="Arial"/>
                <w:sz w:val="20"/>
                <w:szCs w:val="20"/>
                <w:vertAlign w:val="subscript"/>
              </w:rPr>
              <w:t>per100det_i</w:t>
            </w:r>
            <w:r w:rsidRPr="00361AAC">
              <w:rPr>
                <w:rFonts w:cs="Arial"/>
                <w:sz w:val="20"/>
                <w:szCs w:val="20"/>
              </w:rPr>
              <w:t>_percent</w:t>
            </w:r>
          </w:p>
        </w:tc>
        <w:tc>
          <w:tcPr>
            <w:tcW w:w="716" w:type="dxa"/>
          </w:tcPr>
          <w:p w:rsidR="009310C3" w:rsidRPr="00361AAC" w:rsidRDefault="009310C3" w:rsidP="00132F6D">
            <w:pPr>
              <w:keepNext/>
              <w:rPr>
                <w:rFonts w:cs="Arial"/>
                <w:sz w:val="20"/>
                <w:szCs w:val="20"/>
              </w:rPr>
            </w:pPr>
            <w:r w:rsidRPr="00361AAC">
              <w:rPr>
                <w:rFonts w:cs="Arial"/>
                <w:sz w:val="20"/>
                <w:szCs w:val="20"/>
              </w:rPr>
              <w:t>%</w:t>
            </w:r>
          </w:p>
        </w:tc>
        <w:tc>
          <w:tcPr>
            <w:tcW w:w="1025" w:type="dxa"/>
            <w:shd w:val="clear" w:color="auto" w:fill="auto"/>
            <w:noWrap/>
            <w:vAlign w:val="bottom"/>
          </w:tcPr>
          <w:p w:rsidR="009310C3" w:rsidRPr="00361AAC" w:rsidRDefault="009310C3" w:rsidP="00132F6D">
            <w:pPr>
              <w:keepNext/>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424"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Db, report</w:t>
            </w:r>
          </w:p>
        </w:tc>
        <w:tc>
          <w:tcPr>
            <w:tcW w:w="828"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float</w:t>
            </w:r>
          </w:p>
        </w:tc>
      </w:tr>
      <w:tr w:rsidR="009310C3" w:rsidRPr="00361AAC" w:rsidTr="00132F6D">
        <w:trPr>
          <w:trHeight w:val="300"/>
          <w:jc w:val="center"/>
        </w:trPr>
        <w:tc>
          <w:tcPr>
            <w:tcW w:w="3066"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 xml:space="preserve">Full FOV Uniformity Metric </w:t>
            </w:r>
          </w:p>
        </w:tc>
        <w:tc>
          <w:tcPr>
            <w:tcW w:w="2184" w:type="dxa"/>
          </w:tcPr>
          <w:p w:rsidR="009310C3" w:rsidRPr="00361AAC" w:rsidRDefault="009310C3" w:rsidP="00132F6D">
            <w:pPr>
              <w:keepNext/>
              <w:rPr>
                <w:rFonts w:cs="Arial"/>
                <w:sz w:val="20"/>
                <w:szCs w:val="20"/>
              </w:rPr>
            </w:pPr>
            <w:proofErr w:type="spellStart"/>
            <w:r w:rsidRPr="00361AAC">
              <w:rPr>
                <w:rFonts w:cs="Arial"/>
                <w:sz w:val="20"/>
                <w:szCs w:val="20"/>
              </w:rPr>
              <w:t>FFOV_metric_percent</w:t>
            </w:r>
            <w:proofErr w:type="spellEnd"/>
          </w:p>
        </w:tc>
        <w:tc>
          <w:tcPr>
            <w:tcW w:w="716" w:type="dxa"/>
          </w:tcPr>
          <w:p w:rsidR="009310C3" w:rsidRPr="00361AAC" w:rsidRDefault="009310C3" w:rsidP="00132F6D">
            <w:pPr>
              <w:keepNext/>
              <w:rPr>
                <w:rFonts w:cs="Arial"/>
                <w:sz w:val="20"/>
                <w:szCs w:val="20"/>
              </w:rPr>
            </w:pPr>
            <w:r w:rsidRPr="00361AAC">
              <w:rPr>
                <w:rFonts w:cs="Arial"/>
                <w:sz w:val="20"/>
                <w:szCs w:val="20"/>
              </w:rPr>
              <w:t>%</w:t>
            </w:r>
          </w:p>
        </w:tc>
        <w:tc>
          <w:tcPr>
            <w:tcW w:w="1025" w:type="dxa"/>
            <w:shd w:val="clear" w:color="auto" w:fill="auto"/>
            <w:noWrap/>
            <w:vAlign w:val="bottom"/>
          </w:tcPr>
          <w:p w:rsidR="009310C3" w:rsidRPr="00361AAC" w:rsidRDefault="009310C3" w:rsidP="00132F6D">
            <w:pPr>
              <w:keepNext/>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p>
        </w:tc>
        <w:tc>
          <w:tcPr>
            <w:tcW w:w="1424"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Db, report</w:t>
            </w:r>
          </w:p>
        </w:tc>
        <w:tc>
          <w:tcPr>
            <w:tcW w:w="828"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float</w:t>
            </w:r>
          </w:p>
        </w:tc>
      </w:tr>
      <w:tr w:rsidR="009310C3" w:rsidRPr="00361AAC" w:rsidTr="00132F6D">
        <w:trPr>
          <w:trHeight w:val="300"/>
          <w:jc w:val="center"/>
        </w:trPr>
        <w:tc>
          <w:tcPr>
            <w:tcW w:w="3066"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 xml:space="preserve">Streaking Metric </w:t>
            </w:r>
          </w:p>
        </w:tc>
        <w:tc>
          <w:tcPr>
            <w:tcW w:w="2184" w:type="dxa"/>
          </w:tcPr>
          <w:p w:rsidR="009310C3" w:rsidRPr="00361AAC" w:rsidRDefault="009310C3" w:rsidP="00132F6D">
            <w:pPr>
              <w:keepNext/>
              <w:rPr>
                <w:rFonts w:cs="Arial"/>
                <w:sz w:val="20"/>
                <w:szCs w:val="20"/>
              </w:rPr>
            </w:pPr>
            <w:r w:rsidRPr="00361AAC">
              <w:rPr>
                <w:rFonts w:cs="Arial"/>
                <w:sz w:val="20"/>
                <w:szCs w:val="20"/>
              </w:rPr>
              <w:t>S</w:t>
            </w:r>
            <w:r w:rsidRPr="00361AAC">
              <w:rPr>
                <w:rFonts w:cs="Arial"/>
                <w:sz w:val="20"/>
                <w:szCs w:val="20"/>
                <w:vertAlign w:val="subscript"/>
              </w:rPr>
              <w:t>i</w:t>
            </w:r>
          </w:p>
        </w:tc>
        <w:tc>
          <w:tcPr>
            <w:tcW w:w="716" w:type="dxa"/>
          </w:tcPr>
          <w:p w:rsidR="009310C3" w:rsidRPr="00361AAC" w:rsidRDefault="009310C3" w:rsidP="00132F6D">
            <w:pPr>
              <w:keepNext/>
              <w:rPr>
                <w:rFonts w:cs="Arial"/>
                <w:sz w:val="20"/>
                <w:szCs w:val="20"/>
              </w:rPr>
            </w:pPr>
            <w:r w:rsidRPr="00361AAC">
              <w:rPr>
                <w:rFonts w:cs="Arial"/>
                <w:sz w:val="20"/>
                <w:szCs w:val="20"/>
              </w:rPr>
              <w:t>[]</w:t>
            </w:r>
          </w:p>
        </w:tc>
        <w:tc>
          <w:tcPr>
            <w:tcW w:w="1025" w:type="dxa"/>
            <w:shd w:val="clear" w:color="auto" w:fill="auto"/>
            <w:noWrap/>
            <w:vAlign w:val="bottom"/>
          </w:tcPr>
          <w:p w:rsidR="009310C3" w:rsidRPr="00361AAC" w:rsidRDefault="009310C3" w:rsidP="00132F6D">
            <w:pPr>
              <w:keepNext/>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424"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Db, report</w:t>
            </w:r>
          </w:p>
        </w:tc>
        <w:tc>
          <w:tcPr>
            <w:tcW w:w="828" w:type="dxa"/>
            <w:shd w:val="clear" w:color="auto" w:fill="auto"/>
            <w:noWrap/>
            <w:vAlign w:val="bottom"/>
          </w:tcPr>
          <w:p w:rsidR="009310C3" w:rsidRPr="00361AAC" w:rsidRDefault="009310C3" w:rsidP="00132F6D">
            <w:pPr>
              <w:keepNext/>
              <w:rPr>
                <w:rFonts w:cs="Arial"/>
                <w:sz w:val="20"/>
                <w:szCs w:val="20"/>
              </w:rPr>
            </w:pPr>
            <w:r w:rsidRPr="00361AAC">
              <w:rPr>
                <w:rFonts w:cs="Arial"/>
                <w:sz w:val="20"/>
                <w:szCs w:val="20"/>
              </w:rPr>
              <w:t>float</w:t>
            </w:r>
          </w:p>
        </w:tc>
      </w:tr>
    </w:tbl>
    <w:p w:rsidR="009310C3" w:rsidRPr="00361AAC" w:rsidRDefault="009310C3" w:rsidP="009310C3">
      <w:pPr>
        <w:keepNext/>
        <w:rPr>
          <w:rFonts w:cs="Arial"/>
          <w:b/>
        </w:rPr>
      </w:pPr>
    </w:p>
    <w:p w:rsidR="009310C3" w:rsidRPr="00361AAC" w:rsidRDefault="009310C3" w:rsidP="009310C3">
      <w:pPr>
        <w:pStyle w:val="Caption"/>
        <w:keepNext/>
        <w:rPr>
          <w:rFonts w:cs="Arial"/>
        </w:rPr>
      </w:pPr>
      <w:bookmarkStart w:id="12" w:name="_Ref212878927"/>
      <w:bookmarkStart w:id="13" w:name="_Toc476818817"/>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40</w:t>
      </w:r>
      <w:r w:rsidRPr="00361AAC">
        <w:rPr>
          <w:rFonts w:cs="Arial"/>
        </w:rPr>
        <w:fldChar w:fldCharType="end"/>
      </w:r>
      <w:bookmarkEnd w:id="12"/>
      <w:r w:rsidRPr="00361AAC">
        <w:rPr>
          <w:rFonts w:cs="Arial"/>
        </w:rPr>
        <w:t>. Algorithm Outputs</w:t>
      </w:r>
      <w:bookmarkEnd w:id="13"/>
    </w:p>
    <w:p w:rsidR="009310C3" w:rsidRPr="00361AAC" w:rsidRDefault="009310C3" w:rsidP="009310C3">
      <w:pPr>
        <w:pStyle w:val="Heading4"/>
        <w:rPr>
          <w:rFonts w:cs="Arial"/>
        </w:rPr>
      </w:pPr>
      <w:bookmarkStart w:id="14" w:name="_Toc340837737"/>
      <w:bookmarkStart w:id="15" w:name="_Toc345687982"/>
      <w:r w:rsidRPr="00361AAC">
        <w:rPr>
          <w:rFonts w:cs="Arial"/>
        </w:rPr>
        <w:t>Options</w:t>
      </w:r>
      <w:bookmarkEnd w:id="14"/>
      <w:bookmarkEnd w:id="15"/>
    </w:p>
    <w:p w:rsidR="009310C3" w:rsidRPr="00361AAC" w:rsidRDefault="009310C3" w:rsidP="009310C3">
      <w:pPr>
        <w:numPr>
          <w:ilvl w:val="0"/>
          <w:numId w:val="2"/>
        </w:numPr>
        <w:rPr>
          <w:rFonts w:cs="Arial"/>
        </w:rPr>
      </w:pPr>
      <w:r w:rsidRPr="00361AAC">
        <w:rPr>
          <w:rFonts w:cs="Arial"/>
        </w:rPr>
        <w:t>Apply non-uniformity scaling factors</w:t>
      </w:r>
    </w:p>
    <w:p w:rsidR="009310C3" w:rsidRPr="00361AAC" w:rsidRDefault="009310C3" w:rsidP="009310C3">
      <w:pPr>
        <w:numPr>
          <w:ilvl w:val="0"/>
          <w:numId w:val="2"/>
        </w:numPr>
        <w:rPr>
          <w:rFonts w:cs="Arial"/>
        </w:rPr>
      </w:pPr>
      <w:r w:rsidRPr="00361AAC">
        <w:rPr>
          <w:rFonts w:cs="Arial"/>
        </w:rPr>
        <w:t>Output ASCII text file summary in addition to reporting data to the database</w:t>
      </w:r>
    </w:p>
    <w:p w:rsidR="009310C3" w:rsidRPr="00361AAC" w:rsidRDefault="009310C3" w:rsidP="009310C3">
      <w:pPr>
        <w:pStyle w:val="Heading4"/>
        <w:rPr>
          <w:rFonts w:cs="Arial"/>
        </w:rPr>
      </w:pPr>
      <w:bookmarkStart w:id="16" w:name="_Toc340837738"/>
      <w:bookmarkStart w:id="17" w:name="_Toc345687983"/>
      <w:r w:rsidRPr="00361AAC">
        <w:rPr>
          <w:rFonts w:cs="Arial"/>
        </w:rPr>
        <w:t>Procedure</w:t>
      </w:r>
      <w:bookmarkEnd w:id="16"/>
      <w:bookmarkEnd w:id="17"/>
    </w:p>
    <w:p w:rsidR="009310C3" w:rsidRPr="00361AAC" w:rsidRDefault="009310C3" w:rsidP="009310C3">
      <w:pPr>
        <w:spacing w:before="120"/>
        <w:rPr>
          <w:rFonts w:cs="Arial"/>
        </w:rPr>
      </w:pPr>
      <w:r w:rsidRPr="00361AAC">
        <w:rPr>
          <w:rFonts w:cs="Arial"/>
        </w:rPr>
        <w:t>For each solar collect, for each band:</w:t>
      </w:r>
    </w:p>
    <w:p w:rsidR="009310C3" w:rsidRPr="00361AAC" w:rsidRDefault="009310C3" w:rsidP="009310C3">
      <w:pPr>
        <w:numPr>
          <w:ilvl w:val="0"/>
          <w:numId w:val="1"/>
        </w:numPr>
        <w:spacing w:before="120"/>
        <w:rPr>
          <w:rFonts w:cs="Arial"/>
        </w:rPr>
      </w:pPr>
      <w:r w:rsidRPr="00361AAC">
        <w:rPr>
          <w:rFonts w:cs="Arial"/>
        </w:rPr>
        <w:t xml:space="preserve">Determine per-detector radiances </w:t>
      </w:r>
      <w:r w:rsidRPr="00361AAC" w:rsidDel="003B5143">
        <w:rPr>
          <w:rFonts w:cs="Arial"/>
        </w:rPr>
        <w:t>(L</w:t>
      </w:r>
      <w:r w:rsidRPr="00361AAC" w:rsidDel="003B5143">
        <w:rPr>
          <w:rFonts w:cs="Arial"/>
          <w:vertAlign w:val="subscript"/>
        </w:rPr>
        <w:t>i</w:t>
      </w:r>
      <w:r w:rsidRPr="00361AAC" w:rsidDel="003B5143">
        <w:rPr>
          <w:rFonts w:cs="Arial"/>
        </w:rPr>
        <w:t xml:space="preserve">’) as given in </w:t>
      </w:r>
      <w:r w:rsidRPr="00361AAC">
        <w:rPr>
          <w:rFonts w:cs="Arial"/>
        </w:rPr>
        <w:t>Equation 1 for selected scene by applying the per-detector gains to the per-detector scene means (Q</w:t>
      </w:r>
      <w:r w:rsidRPr="00361AAC">
        <w:rPr>
          <w:rFonts w:cs="Arial"/>
          <w:vertAlign w:val="subscript"/>
        </w:rPr>
        <w:t>i</w:t>
      </w:r>
      <w:r w:rsidRPr="00361AAC">
        <w:rPr>
          <w:rFonts w:cs="Arial"/>
        </w:rPr>
        <w:t xml:space="preserve">).  .  </w:t>
      </w:r>
    </w:p>
    <w:p w:rsidR="009310C3" w:rsidRPr="00361AAC" w:rsidRDefault="009310C3" w:rsidP="009310C3">
      <w:pPr>
        <w:numPr>
          <w:ilvl w:val="1"/>
          <w:numId w:val="1"/>
        </w:numPr>
        <w:tabs>
          <w:tab w:val="right" w:pos="8640"/>
        </w:tabs>
        <w:spacing w:before="120"/>
        <w:rPr>
          <w:rFonts w:cs="Arial"/>
        </w:rPr>
      </w:pPr>
      <w:r w:rsidRPr="00361AAC">
        <w:rPr>
          <w:rFonts w:cs="Arial"/>
          <w:position w:val="-30"/>
        </w:rPr>
        <w:object w:dxaOrig="1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6pt" o:ole="">
            <v:imagedata r:id="rId5" o:title=""/>
          </v:shape>
          <o:OLEObject Type="Embed" ProgID="Equation.3" ShapeID="_x0000_i1025" DrawAspect="Content" ObjectID="_1550571229" r:id="rId6"/>
        </w:object>
      </w:r>
      <w:r w:rsidRPr="00361AAC">
        <w:rPr>
          <w:rFonts w:cs="Arial"/>
        </w:rPr>
        <w:tab/>
        <w:t>(1)</w:t>
      </w:r>
    </w:p>
    <w:p w:rsidR="009310C3" w:rsidRPr="00361AAC" w:rsidRDefault="009310C3" w:rsidP="009310C3">
      <w:pPr>
        <w:numPr>
          <w:ilvl w:val="2"/>
          <w:numId w:val="1"/>
        </w:numPr>
        <w:tabs>
          <w:tab w:val="right" w:pos="8640"/>
        </w:tabs>
        <w:spacing w:before="120"/>
        <w:rPr>
          <w:rFonts w:cs="Arial"/>
        </w:rPr>
      </w:pPr>
      <w:proofErr w:type="gramStart"/>
      <w:r w:rsidRPr="00361AAC">
        <w:rPr>
          <w:rFonts w:cs="Arial"/>
        </w:rPr>
        <w:t>where</w:t>
      </w:r>
      <w:proofErr w:type="gramEnd"/>
      <w:r w:rsidRPr="00361AAC">
        <w:rPr>
          <w:rFonts w:cs="Arial"/>
        </w:rPr>
        <w:t xml:space="preserve"> </w:t>
      </w:r>
      <w:r w:rsidRPr="00361AAC">
        <w:rPr>
          <w:rFonts w:cs="Arial"/>
          <w:i/>
        </w:rPr>
        <w:t>G</w:t>
      </w:r>
      <w:r w:rsidRPr="00361AAC">
        <w:rPr>
          <w:rFonts w:cs="Arial"/>
        </w:rPr>
        <w:t xml:space="preserve"> is the band-average gain, </w:t>
      </w:r>
      <w:proofErr w:type="spellStart"/>
      <w:r w:rsidRPr="00361AAC">
        <w:rPr>
          <w:rFonts w:cs="Arial"/>
          <w:i/>
        </w:rPr>
        <w:t>r</w:t>
      </w:r>
      <w:r w:rsidRPr="00361AAC">
        <w:rPr>
          <w:rFonts w:cs="Arial"/>
          <w:i/>
          <w:vertAlign w:val="subscript"/>
        </w:rPr>
        <w:t>i</w:t>
      </w:r>
      <w:proofErr w:type="spellEnd"/>
      <w:r w:rsidRPr="00361AAC">
        <w:rPr>
          <w:rFonts w:cs="Arial"/>
        </w:rPr>
        <w:t xml:space="preserve"> is the per-detector relative gain and </w:t>
      </w:r>
      <w:proofErr w:type="spellStart"/>
      <w:r w:rsidRPr="00361AAC">
        <w:rPr>
          <w:rFonts w:cs="Arial"/>
          <w:i/>
        </w:rPr>
        <w:t>i</w:t>
      </w:r>
      <w:proofErr w:type="spellEnd"/>
      <w:r w:rsidRPr="00361AAC">
        <w:rPr>
          <w:rFonts w:cs="Arial"/>
        </w:rPr>
        <w:t xml:space="preserve"> is the detector counter.  In this algorithm, it is meant to count across the entire focal plane, not just across a single SCA.</w:t>
      </w:r>
    </w:p>
    <w:p w:rsidR="009310C3" w:rsidRPr="00361AAC" w:rsidRDefault="009310C3" w:rsidP="009310C3">
      <w:pPr>
        <w:numPr>
          <w:ilvl w:val="1"/>
          <w:numId w:val="1"/>
        </w:numPr>
        <w:spacing w:before="120"/>
        <w:rPr>
          <w:rFonts w:cs="Arial"/>
          <w:i/>
        </w:rPr>
      </w:pPr>
      <w:r w:rsidRPr="00361AAC">
        <w:rPr>
          <w:rFonts w:cs="Arial"/>
        </w:rPr>
        <w:t xml:space="preserve">An option would be to calculate radiance straight out of the database operation.  For example </w:t>
      </w:r>
      <w:r w:rsidRPr="00361AAC">
        <w:rPr>
          <w:rFonts w:cs="Arial"/>
          <w:i/>
        </w:rPr>
        <w:t xml:space="preserve">select </w:t>
      </w:r>
      <w:proofErr w:type="spellStart"/>
      <w:r w:rsidRPr="00361AAC">
        <w:rPr>
          <w:rFonts w:cs="Arial"/>
          <w:i/>
        </w:rPr>
        <w:t>histogram_mean</w:t>
      </w:r>
      <w:proofErr w:type="spellEnd"/>
      <w:r w:rsidRPr="00361AAC">
        <w:rPr>
          <w:rFonts w:cs="Arial"/>
          <w:i/>
        </w:rPr>
        <w:t xml:space="preserve"> / </w:t>
      </w:r>
      <w:proofErr w:type="spellStart"/>
      <w:r w:rsidRPr="00361AAC">
        <w:rPr>
          <w:rFonts w:cs="Arial"/>
          <w:i/>
        </w:rPr>
        <w:t>detector_gain</w:t>
      </w:r>
      <w:proofErr w:type="spellEnd"/>
      <w:r w:rsidRPr="00361AAC">
        <w:rPr>
          <w:rFonts w:cs="Arial"/>
          <w:i/>
        </w:rPr>
        <w:t xml:space="preserve"> from </w:t>
      </w:r>
      <w:proofErr w:type="spellStart"/>
      <w:r w:rsidRPr="00361AAC">
        <w:rPr>
          <w:rFonts w:cs="Arial"/>
          <w:i/>
        </w:rPr>
        <w:t>hist_stats</w:t>
      </w:r>
      <w:proofErr w:type="spellEnd"/>
      <w:r w:rsidRPr="00361AAC">
        <w:rPr>
          <w:rFonts w:cs="Arial"/>
          <w:i/>
        </w:rPr>
        <w:t xml:space="preserve">, </w:t>
      </w:r>
      <w:proofErr w:type="spellStart"/>
      <w:r w:rsidRPr="00361AAC">
        <w:rPr>
          <w:rFonts w:cs="Arial"/>
          <w:i/>
        </w:rPr>
        <w:t>cpf</w:t>
      </w:r>
      <w:proofErr w:type="spellEnd"/>
      <w:r w:rsidRPr="00361AAC">
        <w:rPr>
          <w:rFonts w:cs="Arial"/>
          <w:i/>
        </w:rPr>
        <w:t xml:space="preserve"> where </w:t>
      </w:r>
      <w:proofErr w:type="spellStart"/>
      <w:r w:rsidRPr="00361AAC">
        <w:rPr>
          <w:rFonts w:cs="Arial"/>
          <w:i/>
        </w:rPr>
        <w:t>cpf.date</w:t>
      </w:r>
      <w:proofErr w:type="spellEnd"/>
      <w:r w:rsidRPr="00361AAC">
        <w:rPr>
          <w:rFonts w:cs="Arial"/>
          <w:i/>
        </w:rPr>
        <w:t xml:space="preserve">=now() and </w:t>
      </w:r>
      <w:proofErr w:type="spellStart"/>
      <w:r w:rsidRPr="00361AAC">
        <w:rPr>
          <w:rFonts w:cs="Arial"/>
          <w:i/>
        </w:rPr>
        <w:t>hist_stats.detector</w:t>
      </w:r>
      <w:proofErr w:type="spellEnd"/>
      <w:r w:rsidRPr="00361AAC">
        <w:rPr>
          <w:rFonts w:cs="Arial"/>
          <w:i/>
        </w:rPr>
        <w:t xml:space="preserve"> = </w:t>
      </w:r>
      <w:proofErr w:type="spellStart"/>
      <w:r w:rsidRPr="00361AAC">
        <w:rPr>
          <w:rFonts w:cs="Arial"/>
          <w:i/>
        </w:rPr>
        <w:t>cpf.detector</w:t>
      </w:r>
      <w:proofErr w:type="spellEnd"/>
    </w:p>
    <w:p w:rsidR="009310C3" w:rsidRPr="00361AAC" w:rsidRDefault="009310C3" w:rsidP="009310C3">
      <w:pPr>
        <w:numPr>
          <w:ilvl w:val="0"/>
          <w:numId w:val="1"/>
        </w:numPr>
        <w:spacing w:before="120"/>
        <w:rPr>
          <w:rFonts w:cs="Arial"/>
          <w:i/>
        </w:rPr>
      </w:pPr>
      <w:r w:rsidRPr="00361AAC">
        <w:rPr>
          <w:rFonts w:cs="Arial"/>
        </w:rPr>
        <w:t>For solar and blackbody data:  Correct per-detector radiance for non-uniformity (Equation 2) of the solar panel or the blackbody using the per-detector scaling factor (</w:t>
      </w:r>
      <w:r w:rsidRPr="00361AAC">
        <w:rPr>
          <w:rFonts w:ascii="Symbol" w:hAnsi="Symbol" w:cs="Arial"/>
        </w:rPr>
        <w:t></w:t>
      </w:r>
      <w:proofErr w:type="spellStart"/>
      <w:r w:rsidRPr="00361AAC">
        <w:rPr>
          <w:rFonts w:cs="Arial"/>
          <w:vertAlign w:val="subscript"/>
        </w:rPr>
        <w:t>i</w:t>
      </w:r>
      <w:proofErr w:type="spellEnd"/>
      <w:r w:rsidRPr="00361AAC">
        <w:rPr>
          <w:rFonts w:cs="Arial"/>
        </w:rPr>
        <w:t>).  For non-solar, non-blackbody data, the scaling factors are set to 1.0 for all detectors.</w:t>
      </w:r>
    </w:p>
    <w:p w:rsidR="009310C3" w:rsidRPr="00361AAC" w:rsidRDefault="009310C3" w:rsidP="009310C3">
      <w:pPr>
        <w:numPr>
          <w:ilvl w:val="1"/>
          <w:numId w:val="1"/>
        </w:numPr>
        <w:tabs>
          <w:tab w:val="right" w:pos="8640"/>
        </w:tabs>
        <w:spacing w:before="120"/>
        <w:rPr>
          <w:rFonts w:cs="Arial"/>
          <w:i/>
        </w:rPr>
      </w:pPr>
      <w:r w:rsidRPr="00361AAC">
        <w:rPr>
          <w:rFonts w:cs="Arial"/>
          <w:position w:val="-28"/>
        </w:rPr>
        <w:object w:dxaOrig="760" w:dyaOrig="640">
          <v:shape id="_x0000_i1026" type="#_x0000_t75" style="width:36pt;height:30.75pt" o:ole="">
            <v:imagedata r:id="rId7" o:title=""/>
          </v:shape>
          <o:OLEObject Type="Embed" ProgID="Equation.3" ShapeID="_x0000_i1026" DrawAspect="Content" ObjectID="_1550571230" r:id="rId8"/>
        </w:object>
      </w:r>
      <w:r w:rsidRPr="00361AAC">
        <w:rPr>
          <w:rFonts w:cs="Arial"/>
        </w:rPr>
        <w:tab/>
        <w:t>(2)</w:t>
      </w:r>
    </w:p>
    <w:p w:rsidR="009310C3" w:rsidRPr="00361AAC" w:rsidRDefault="009310C3" w:rsidP="009310C3">
      <w:pPr>
        <w:numPr>
          <w:ilvl w:val="1"/>
          <w:numId w:val="1"/>
        </w:numPr>
        <w:tabs>
          <w:tab w:val="right" w:pos="8640"/>
        </w:tabs>
        <w:spacing w:before="120"/>
        <w:rPr>
          <w:rFonts w:cs="Arial"/>
          <w:i/>
        </w:rPr>
      </w:pPr>
      <w:r w:rsidRPr="00361AAC">
        <w:rPr>
          <w:rFonts w:cs="Arial"/>
        </w:rPr>
        <w:t xml:space="preserve">Note:  the solar uniformity values in the CPF may be in terms of per-detector reflectance.  If that is the case, the </w:t>
      </w:r>
      <w:proofErr w:type="spellStart"/>
      <w:r w:rsidRPr="00361AAC">
        <w:rPr>
          <w:rFonts w:cs="Arial"/>
        </w:rPr>
        <w:t>reflectances</w:t>
      </w:r>
      <w:proofErr w:type="spellEnd"/>
      <w:r w:rsidRPr="00361AAC">
        <w:rPr>
          <w:rFonts w:cs="Arial"/>
        </w:rPr>
        <w:t xml:space="preserve"> should be normalized to the average before applying them to the radiance. </w:t>
      </w:r>
    </w:p>
    <w:p w:rsidR="009310C3" w:rsidRPr="00361AAC" w:rsidRDefault="009310C3" w:rsidP="009310C3">
      <w:pPr>
        <w:numPr>
          <w:ilvl w:val="1"/>
          <w:numId w:val="1"/>
        </w:numPr>
        <w:tabs>
          <w:tab w:val="right" w:pos="8640"/>
        </w:tabs>
        <w:spacing w:before="120"/>
        <w:rPr>
          <w:rFonts w:cs="Arial"/>
          <w:i/>
        </w:rPr>
      </w:pPr>
      <w:r w:rsidRPr="00361AAC">
        <w:rPr>
          <w:rFonts w:cs="Arial"/>
        </w:rPr>
        <w:lastRenderedPageBreak/>
        <w:t>Note: it is unclear what form the non-uniformity scaling factors will take in the CPF.  Once these are defined, we will be able to specify whether the radiances are multiplied or divided by the scaling factors.</w:t>
      </w:r>
    </w:p>
    <w:p w:rsidR="009310C3" w:rsidRPr="00361AAC" w:rsidRDefault="009310C3" w:rsidP="009310C3">
      <w:pPr>
        <w:numPr>
          <w:ilvl w:val="0"/>
          <w:numId w:val="1"/>
        </w:numPr>
        <w:spacing w:before="120"/>
        <w:rPr>
          <w:rFonts w:cs="Arial"/>
          <w:i/>
        </w:rPr>
      </w:pPr>
      <w:r w:rsidRPr="00361AAC">
        <w:rPr>
          <w:rFonts w:cs="Arial"/>
        </w:rPr>
        <w:t xml:space="preserve">Stitch the radiance data together in order across the focal plane. </w:t>
      </w:r>
      <w:r w:rsidRPr="00361AAC" w:rsidDel="003B5143">
        <w:rPr>
          <w:rFonts w:cs="Arial"/>
        </w:rPr>
        <w:t>I</w:t>
      </w:r>
      <w:r w:rsidRPr="00361AAC">
        <w:rPr>
          <w:rFonts w:cs="Arial"/>
        </w:rPr>
        <w:t>nclude all imaging detectors.  Include overlap detectors.  Do not include dark or redundant detectors.</w:t>
      </w:r>
    </w:p>
    <w:p w:rsidR="009310C3" w:rsidRPr="00361AAC" w:rsidDel="003B5143" w:rsidRDefault="009310C3" w:rsidP="009310C3">
      <w:pPr>
        <w:numPr>
          <w:ilvl w:val="1"/>
          <w:numId w:val="1"/>
        </w:numPr>
        <w:spacing w:before="120"/>
        <w:rPr>
          <w:rFonts w:cs="Arial"/>
          <w:i/>
        </w:rPr>
      </w:pPr>
      <w:r w:rsidRPr="00361AAC" w:rsidDel="003B5143">
        <w:rPr>
          <w:rFonts w:cs="Arial"/>
          <w:i/>
        </w:rPr>
        <w:t>Each SCA will have several detectors that image the same portion of the ground as the adjacent SCA.  For example, say the SCAs each have 500 detectors and the last 10 detectors of SCA1 image the same ground as the first 10 detectors of SCA2.  The radiance array should include both SCA1 detectors 491-500 and SCA2 detectors 1-10.</w:t>
      </w:r>
    </w:p>
    <w:p w:rsidR="009310C3" w:rsidRPr="00361AAC" w:rsidRDefault="009310C3" w:rsidP="009310C3">
      <w:pPr>
        <w:numPr>
          <w:ilvl w:val="1"/>
          <w:numId w:val="1"/>
        </w:numPr>
        <w:spacing w:before="120"/>
        <w:rPr>
          <w:rFonts w:cs="Arial"/>
          <w:i/>
        </w:rPr>
      </w:pPr>
      <w:r w:rsidRPr="00361AAC">
        <w:rPr>
          <w:rFonts w:cs="Arial"/>
        </w:rPr>
        <w:t>The redundancy of the overlap detectors should not affect the banding and streaking results of the solar data though it means that we are not measuring the image SCA-to-SCA discontinuity.</w:t>
      </w:r>
    </w:p>
    <w:p w:rsidR="009310C3" w:rsidRPr="00361AAC" w:rsidRDefault="009310C3" w:rsidP="009310C3">
      <w:pPr>
        <w:numPr>
          <w:ilvl w:val="0"/>
          <w:numId w:val="1"/>
        </w:numPr>
        <w:spacing w:before="120"/>
        <w:rPr>
          <w:rFonts w:cs="Arial"/>
          <w:i/>
        </w:rPr>
      </w:pPr>
      <w:r w:rsidRPr="00361AAC">
        <w:rPr>
          <w:rFonts w:cs="Arial"/>
        </w:rPr>
        <w:t>Calculate Full FOV Uniformity Metric as given below in Equation 3 for the band.  Do not include detectors flagged as inoperable or out-of-spec in the calculation.</w:t>
      </w:r>
    </w:p>
    <w:p w:rsidR="009310C3" w:rsidRPr="00361AAC" w:rsidRDefault="009310C3" w:rsidP="009310C3">
      <w:pPr>
        <w:numPr>
          <w:ilvl w:val="1"/>
          <w:numId w:val="1"/>
        </w:numPr>
        <w:tabs>
          <w:tab w:val="right" w:pos="1440"/>
          <w:tab w:val="right" w:pos="8640"/>
        </w:tabs>
        <w:spacing w:before="120"/>
        <w:rPr>
          <w:rFonts w:cs="Arial"/>
          <w:i/>
        </w:rPr>
      </w:pPr>
      <w:proofErr w:type="spellStart"/>
      <w:r w:rsidRPr="00361AAC">
        <w:rPr>
          <w:rFonts w:cs="Arial"/>
        </w:rPr>
        <w:t>FFOV_metric_percent</w:t>
      </w:r>
      <w:proofErr w:type="spellEnd"/>
      <w:r w:rsidRPr="00361AAC">
        <w:rPr>
          <w:rFonts w:cs="Arial"/>
        </w:rPr>
        <w:t xml:space="preserve"> = </w:t>
      </w:r>
      <w:proofErr w:type="spellStart"/>
      <w:r w:rsidRPr="00361AAC">
        <w:rPr>
          <w:rFonts w:cs="Arial"/>
        </w:rPr>
        <w:t>stdev</w:t>
      </w:r>
      <w:proofErr w:type="spellEnd"/>
      <w:r w:rsidRPr="00361AAC">
        <w:rPr>
          <w:rFonts w:cs="Arial"/>
        </w:rPr>
        <w:t>(</w:t>
      </w:r>
      <w:r>
        <w:rPr>
          <w:rFonts w:cs="Arial"/>
          <w:noProof/>
          <w:position w:val="-2"/>
        </w:rPr>
        <w:drawing>
          <wp:inline distT="0" distB="0" distL="0" distR="0" wp14:anchorId="47A56F2E" wp14:editId="30A70DF4">
            <wp:extent cx="133350" cy="133350"/>
            <wp:effectExtent l="0" t="0" r="0" b="0"/>
            <wp:docPr id="610"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61AAC">
        <w:rPr>
          <w:rFonts w:cs="Arial"/>
        </w:rPr>
        <w:t>) / mean(L)*100</w:t>
      </w:r>
      <w:r w:rsidRPr="00361AAC">
        <w:rPr>
          <w:rFonts w:cs="Arial"/>
        </w:rPr>
        <w:tab/>
        <w:t>(3)</w:t>
      </w:r>
    </w:p>
    <w:p w:rsidR="009310C3" w:rsidRPr="00361AAC" w:rsidRDefault="009310C3" w:rsidP="009310C3">
      <w:pPr>
        <w:numPr>
          <w:ilvl w:val="1"/>
          <w:numId w:val="1"/>
        </w:numPr>
        <w:tabs>
          <w:tab w:val="right" w:pos="1440"/>
          <w:tab w:val="right" w:pos="8640"/>
        </w:tabs>
        <w:spacing w:before="120"/>
        <w:rPr>
          <w:rFonts w:cs="Arial"/>
          <w:i/>
        </w:rPr>
      </w:pPr>
      <w:r w:rsidRPr="00361AAC">
        <w:rPr>
          <w:rFonts w:cs="Arial"/>
        </w:rPr>
        <w:t xml:space="preserve">Record </w:t>
      </w:r>
      <w:proofErr w:type="spellStart"/>
      <w:r w:rsidRPr="00361AAC">
        <w:rPr>
          <w:rFonts w:cs="Arial"/>
        </w:rPr>
        <w:t>FFOV_metric_percent</w:t>
      </w:r>
      <w:proofErr w:type="spellEnd"/>
      <w:r w:rsidRPr="00361AAC">
        <w:rPr>
          <w:rFonts w:cs="Arial"/>
        </w:rPr>
        <w:t xml:space="preserve"> to the database or optionally to a file.</w:t>
      </w:r>
    </w:p>
    <w:p w:rsidR="009310C3" w:rsidRPr="00361AAC" w:rsidRDefault="009310C3" w:rsidP="009310C3">
      <w:pPr>
        <w:numPr>
          <w:ilvl w:val="0"/>
          <w:numId w:val="1"/>
        </w:numPr>
        <w:tabs>
          <w:tab w:val="right" w:pos="1440"/>
          <w:tab w:val="right" w:pos="8640"/>
        </w:tabs>
        <w:spacing w:before="120"/>
        <w:rPr>
          <w:rFonts w:cs="Arial"/>
          <w:i/>
        </w:rPr>
      </w:pPr>
      <w:r w:rsidRPr="00361AAC">
        <w:rPr>
          <w:rFonts w:cs="Arial"/>
        </w:rPr>
        <w:t>Calculate banding metrics as given below in Equations 4 and 6 for each imaging detector (</w:t>
      </w:r>
      <w:proofErr w:type="spellStart"/>
      <w:r w:rsidRPr="00361AAC">
        <w:rPr>
          <w:rFonts w:cs="Arial"/>
        </w:rPr>
        <w:t>i</w:t>
      </w:r>
      <w:proofErr w:type="spellEnd"/>
      <w:r w:rsidRPr="00361AAC">
        <w:rPr>
          <w:rFonts w:cs="Arial"/>
        </w:rPr>
        <w:t>). Do not include detectors flagged as inoperable or out-of-spec in the calculation for operable detectors.  Skip the banding calculation for inoperable and out-of-spec detectors.</w:t>
      </w:r>
    </w:p>
    <w:p w:rsidR="009310C3" w:rsidRPr="00361AAC" w:rsidRDefault="009310C3" w:rsidP="009310C3">
      <w:pPr>
        <w:numPr>
          <w:ilvl w:val="1"/>
          <w:numId w:val="1"/>
        </w:numPr>
        <w:tabs>
          <w:tab w:val="right" w:pos="8640"/>
        </w:tabs>
        <w:spacing w:before="120"/>
        <w:rPr>
          <w:rFonts w:cs="Arial"/>
          <w:i/>
        </w:rPr>
      </w:pPr>
      <w:r w:rsidRPr="00361AAC">
        <w:rPr>
          <w:rFonts w:cs="Arial"/>
        </w:rPr>
        <w:t>Method 1)</w:t>
      </w:r>
    </w:p>
    <w:p w:rsidR="009310C3" w:rsidRPr="00361AAC" w:rsidRDefault="009310C3" w:rsidP="009310C3">
      <w:pPr>
        <w:tabs>
          <w:tab w:val="left" w:pos="2160"/>
          <w:tab w:val="right" w:pos="8640"/>
        </w:tabs>
        <w:spacing w:before="120"/>
        <w:rPr>
          <w:rFonts w:cs="Arial"/>
        </w:rPr>
      </w:pPr>
      <w:r w:rsidRPr="00361AAC">
        <w:rPr>
          <w:rFonts w:cs="Arial"/>
        </w:rPr>
        <w:tab/>
      </w:r>
      <w:r>
        <w:rPr>
          <w:rFonts w:cs="Arial"/>
          <w:noProof/>
          <w:position w:val="-18"/>
        </w:rPr>
        <w:drawing>
          <wp:inline distT="0" distB="0" distL="0" distR="0" wp14:anchorId="13CF261B" wp14:editId="0CF592D5">
            <wp:extent cx="1962150" cy="333375"/>
            <wp:effectExtent l="0" t="0" r="0" b="9525"/>
            <wp:docPr id="609"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333375"/>
                    </a:xfrm>
                    <a:prstGeom prst="rect">
                      <a:avLst/>
                    </a:prstGeom>
                    <a:noFill/>
                    <a:ln>
                      <a:noFill/>
                    </a:ln>
                  </pic:spPr>
                </pic:pic>
              </a:graphicData>
            </a:graphic>
          </wp:inline>
        </w:drawing>
      </w:r>
      <w:r w:rsidRPr="00361AAC">
        <w:rPr>
          <w:rFonts w:cs="Arial"/>
        </w:rPr>
        <w:tab/>
        <w:t>(4)</w:t>
      </w:r>
    </w:p>
    <w:p w:rsidR="009310C3" w:rsidRPr="00361AAC" w:rsidRDefault="009310C3" w:rsidP="009310C3">
      <w:pPr>
        <w:tabs>
          <w:tab w:val="left" w:pos="2160"/>
          <w:tab w:val="right" w:pos="8640"/>
        </w:tabs>
        <w:spacing w:before="120"/>
        <w:rPr>
          <w:rFonts w:cs="Arial"/>
        </w:rPr>
      </w:pPr>
      <w:r w:rsidRPr="00361AAC">
        <w:rPr>
          <w:rFonts w:cs="Arial"/>
        </w:rPr>
        <w:tab/>
      </w:r>
      <w:r w:rsidRPr="00361AAC">
        <w:rPr>
          <w:rFonts w:cs="Arial"/>
          <w:position w:val="-22"/>
        </w:rPr>
        <w:object w:dxaOrig="2840" w:dyaOrig="600">
          <v:shape id="_x0000_i1027" type="#_x0000_t75" style="width:2in;height:30.75pt" o:ole="">
            <v:imagedata r:id="rId11" o:title=""/>
          </v:shape>
          <o:OLEObject Type="Embed" ProgID="Equation.3" ShapeID="_x0000_i1027" DrawAspect="Content" ObjectID="_1550571231" r:id="rId12"/>
        </w:object>
      </w:r>
      <w:r w:rsidRPr="00361AAC">
        <w:rPr>
          <w:rFonts w:cs="Arial"/>
        </w:rPr>
        <w:tab/>
        <w:t>(5)</w:t>
      </w:r>
    </w:p>
    <w:p w:rsidR="009310C3" w:rsidRPr="00361AAC" w:rsidRDefault="009310C3" w:rsidP="009310C3">
      <w:pPr>
        <w:tabs>
          <w:tab w:val="left" w:pos="1440"/>
        </w:tabs>
        <w:ind w:firstLine="720"/>
        <w:rPr>
          <w:rFonts w:cs="Arial"/>
        </w:rPr>
      </w:pPr>
      <w:r w:rsidRPr="00361AAC">
        <w:rPr>
          <w:rFonts w:cs="Arial"/>
        </w:rPr>
        <w:tab/>
        <w:t>Where:</w:t>
      </w:r>
    </w:p>
    <w:p w:rsidR="009310C3" w:rsidRPr="00361AAC" w:rsidRDefault="009310C3" w:rsidP="009310C3">
      <w:pPr>
        <w:ind w:left="1800"/>
        <w:rPr>
          <w:rFonts w:cs="Arial"/>
        </w:rPr>
      </w:pPr>
      <w:r w:rsidRPr="00361AAC">
        <w:rPr>
          <w:rFonts w:cs="Arial"/>
          <w:position w:val="-8"/>
        </w:rPr>
        <w:object w:dxaOrig="240" w:dyaOrig="280">
          <v:shape id="_x0000_i1028" type="#_x0000_t75" style="width:9.75pt;height:15pt" o:ole="">
            <v:imagedata r:id="rId13" o:title=""/>
          </v:shape>
          <o:OLEObject Type="Embed" ProgID="Equation.3" ShapeID="_x0000_i1028" DrawAspect="Content" ObjectID="_1550571232" r:id="rId14"/>
        </w:object>
      </w:r>
      <w:r w:rsidRPr="00361AAC">
        <w:rPr>
          <w:rFonts w:cs="Arial"/>
        </w:rPr>
        <w:t xml:space="preserve"> </w:t>
      </w:r>
      <w:proofErr w:type="gramStart"/>
      <w:r w:rsidRPr="00361AAC">
        <w:rPr>
          <w:rFonts w:cs="Arial"/>
        </w:rPr>
        <w:t>is</w:t>
      </w:r>
      <w:proofErr w:type="gramEnd"/>
      <w:r w:rsidRPr="00361AAC">
        <w:rPr>
          <w:rFonts w:cs="Arial"/>
        </w:rPr>
        <w:t xml:space="preserve"> the radiance of detector </w:t>
      </w:r>
      <w:proofErr w:type="spellStart"/>
      <w:r w:rsidRPr="00361AAC">
        <w:rPr>
          <w:rFonts w:cs="Arial"/>
        </w:rPr>
        <w:t>i</w:t>
      </w:r>
      <w:proofErr w:type="spellEnd"/>
    </w:p>
    <w:p w:rsidR="009310C3" w:rsidRPr="00361AAC" w:rsidRDefault="009310C3" w:rsidP="009310C3">
      <w:pPr>
        <w:ind w:left="1800"/>
        <w:rPr>
          <w:rFonts w:cs="Arial"/>
        </w:rPr>
      </w:pPr>
      <w:r w:rsidRPr="00361AAC">
        <w:rPr>
          <w:rFonts w:cs="Arial"/>
          <w:position w:val="-2"/>
        </w:rPr>
        <w:object w:dxaOrig="200" w:dyaOrig="260">
          <v:shape id="_x0000_i1029" type="#_x0000_t75" style="width:9.75pt;height:15pt" o:ole="">
            <v:imagedata r:id="rId15" o:title=""/>
          </v:shape>
          <o:OLEObject Type="Embed" ProgID="Equation.3" ShapeID="_x0000_i1029" DrawAspect="Content" ObjectID="_1550571233" r:id="rId16"/>
        </w:object>
      </w:r>
      <w:r w:rsidRPr="00361AAC">
        <w:rPr>
          <w:rFonts w:cs="Arial"/>
        </w:rPr>
        <w:t xml:space="preserve"> </w:t>
      </w:r>
      <w:proofErr w:type="gramStart"/>
      <w:r w:rsidRPr="00361AAC">
        <w:rPr>
          <w:rFonts w:cs="Arial"/>
        </w:rPr>
        <w:t>is</w:t>
      </w:r>
      <w:proofErr w:type="gramEnd"/>
      <w:r w:rsidRPr="00361AAC">
        <w:rPr>
          <w:rFonts w:cs="Arial"/>
        </w:rPr>
        <w:t xml:space="preserve"> the scene average radiance: </w:t>
      </w:r>
      <w:r w:rsidRPr="00361AAC">
        <w:rPr>
          <w:rFonts w:cs="Arial"/>
          <w:position w:val="-6"/>
        </w:rPr>
        <w:object w:dxaOrig="1280" w:dyaOrig="300">
          <v:shape id="_x0000_i1030" type="#_x0000_t75" style="width:62.25pt;height:15pt" o:ole="">
            <v:imagedata r:id="rId17" o:title=""/>
          </v:shape>
          <o:OLEObject Type="Embed" ProgID="Equation.3" ShapeID="_x0000_i1030" DrawAspect="Content" ObjectID="_1550571234" r:id="rId18"/>
        </w:object>
      </w:r>
    </w:p>
    <w:p w:rsidR="009310C3" w:rsidRPr="00361AAC" w:rsidRDefault="009310C3" w:rsidP="009310C3">
      <w:pPr>
        <w:ind w:left="1440"/>
        <w:rPr>
          <w:rFonts w:cs="Arial"/>
        </w:rPr>
      </w:pPr>
    </w:p>
    <w:p w:rsidR="009310C3" w:rsidRPr="00361AAC" w:rsidRDefault="009310C3" w:rsidP="009310C3">
      <w:pPr>
        <w:numPr>
          <w:ilvl w:val="1"/>
          <w:numId w:val="1"/>
        </w:numPr>
        <w:tabs>
          <w:tab w:val="right" w:pos="8640"/>
        </w:tabs>
        <w:spacing w:before="120"/>
        <w:rPr>
          <w:rFonts w:cs="Arial"/>
          <w:i/>
        </w:rPr>
      </w:pPr>
      <w:r w:rsidRPr="00361AAC">
        <w:rPr>
          <w:rFonts w:cs="Arial"/>
        </w:rPr>
        <w:t>Method 2)</w:t>
      </w:r>
    </w:p>
    <w:p w:rsidR="009310C3" w:rsidRPr="00361AAC" w:rsidRDefault="009310C3" w:rsidP="009310C3">
      <w:pPr>
        <w:tabs>
          <w:tab w:val="left" w:pos="2160"/>
          <w:tab w:val="right" w:pos="8640"/>
        </w:tabs>
        <w:ind w:left="720" w:firstLine="720"/>
        <w:rPr>
          <w:rFonts w:cs="Arial"/>
        </w:rPr>
      </w:pPr>
      <w:r w:rsidRPr="00361AAC">
        <w:rPr>
          <w:rFonts w:cs="Arial"/>
        </w:rPr>
        <w:tab/>
      </w:r>
      <w:r w:rsidRPr="00361AAC">
        <w:rPr>
          <w:rFonts w:cs="Arial"/>
          <w:position w:val="-18"/>
        </w:rPr>
        <w:object w:dxaOrig="3540" w:dyaOrig="540">
          <v:shape id="_x0000_i1031" type="#_x0000_t75" style="width:174.75pt;height:26.25pt" o:ole="">
            <v:imagedata r:id="rId19" o:title=""/>
          </v:shape>
          <o:OLEObject Type="Embed" ProgID="Equation.3" ShapeID="_x0000_i1031" DrawAspect="Content" ObjectID="_1550571235" r:id="rId20"/>
        </w:object>
      </w:r>
      <w:r w:rsidRPr="00361AAC">
        <w:rPr>
          <w:rFonts w:cs="Arial"/>
        </w:rPr>
        <w:tab/>
        <w:t>(6)</w:t>
      </w:r>
    </w:p>
    <w:p w:rsidR="009310C3" w:rsidRPr="00361AAC" w:rsidRDefault="009310C3" w:rsidP="009310C3">
      <w:pPr>
        <w:tabs>
          <w:tab w:val="left" w:pos="2160"/>
          <w:tab w:val="right" w:pos="8640"/>
        </w:tabs>
        <w:ind w:left="720" w:firstLine="720"/>
        <w:rPr>
          <w:rFonts w:cs="Arial"/>
        </w:rPr>
      </w:pPr>
      <w:r w:rsidRPr="00361AAC">
        <w:rPr>
          <w:rFonts w:cs="Arial"/>
        </w:rPr>
        <w:tab/>
      </w:r>
      <w:r w:rsidRPr="00361AAC">
        <w:rPr>
          <w:rFonts w:cs="Arial"/>
          <w:position w:val="-22"/>
        </w:rPr>
        <w:object w:dxaOrig="3220" w:dyaOrig="600">
          <v:shape id="_x0000_i1032" type="#_x0000_t75" style="width:159pt;height:30.75pt" o:ole="">
            <v:imagedata r:id="rId21" o:title=""/>
          </v:shape>
          <o:OLEObject Type="Embed" ProgID="Equation.3" ShapeID="_x0000_i1032" DrawAspect="Content" ObjectID="_1550571236" r:id="rId22"/>
        </w:object>
      </w:r>
      <w:r w:rsidRPr="00361AAC">
        <w:rPr>
          <w:rFonts w:cs="Arial"/>
        </w:rPr>
        <w:tab/>
        <w:t>(7)</w:t>
      </w:r>
    </w:p>
    <w:p w:rsidR="009310C3" w:rsidRPr="00361AAC" w:rsidRDefault="009310C3" w:rsidP="009310C3">
      <w:pPr>
        <w:ind w:firstLine="1440"/>
        <w:rPr>
          <w:rFonts w:cs="Arial"/>
        </w:rPr>
      </w:pPr>
      <w:r w:rsidRPr="00361AAC">
        <w:rPr>
          <w:rFonts w:cs="Arial"/>
        </w:rPr>
        <w:t>Where:</w:t>
      </w:r>
    </w:p>
    <w:p w:rsidR="009310C3" w:rsidRPr="00361AAC" w:rsidRDefault="009310C3" w:rsidP="009310C3">
      <w:pPr>
        <w:ind w:left="1800"/>
        <w:rPr>
          <w:rFonts w:cs="Arial"/>
        </w:rPr>
      </w:pPr>
      <w:r w:rsidRPr="00361AAC">
        <w:rPr>
          <w:rFonts w:cs="Arial"/>
          <w:position w:val="-8"/>
        </w:rPr>
        <w:object w:dxaOrig="240" w:dyaOrig="280">
          <v:shape id="_x0000_i1033" type="#_x0000_t75" style="width:9.75pt;height:15pt" o:ole="">
            <v:imagedata r:id="rId23" o:title=""/>
          </v:shape>
          <o:OLEObject Type="Embed" ProgID="Equation.3" ShapeID="_x0000_i1033" DrawAspect="Content" ObjectID="_1550571237" r:id="rId24"/>
        </w:object>
      </w:r>
      <w:r w:rsidRPr="00361AAC">
        <w:rPr>
          <w:rFonts w:cs="Arial"/>
        </w:rPr>
        <w:t xml:space="preserve"> </w:t>
      </w:r>
      <w:proofErr w:type="gramStart"/>
      <w:r w:rsidRPr="00361AAC">
        <w:rPr>
          <w:rFonts w:cs="Arial"/>
        </w:rPr>
        <w:t>is</w:t>
      </w:r>
      <w:proofErr w:type="gramEnd"/>
      <w:r w:rsidRPr="00361AAC">
        <w:rPr>
          <w:rFonts w:cs="Arial"/>
        </w:rPr>
        <w:t xml:space="preserve"> the radiance of detector </w:t>
      </w:r>
      <w:proofErr w:type="spellStart"/>
      <w:r w:rsidRPr="00361AAC">
        <w:rPr>
          <w:rFonts w:cs="Arial"/>
        </w:rPr>
        <w:t>i</w:t>
      </w:r>
      <w:proofErr w:type="spellEnd"/>
    </w:p>
    <w:p w:rsidR="009310C3" w:rsidRPr="00361AAC" w:rsidRDefault="009310C3" w:rsidP="009310C3">
      <w:pPr>
        <w:ind w:left="1800"/>
        <w:rPr>
          <w:rFonts w:cs="Arial"/>
        </w:rPr>
      </w:pPr>
      <w:r w:rsidRPr="00361AAC">
        <w:rPr>
          <w:rFonts w:cs="Arial"/>
          <w:position w:val="-4"/>
        </w:rPr>
        <w:object w:dxaOrig="620" w:dyaOrig="280">
          <v:shape id="_x0000_i1034" type="#_x0000_t75" style="width:30.75pt;height:15pt" o:ole="">
            <v:imagedata r:id="rId25" o:title=""/>
          </v:shape>
          <o:OLEObject Type="Embed" ProgID="Equation.3" ShapeID="_x0000_i1034" DrawAspect="Content" ObjectID="_1550571238" r:id="rId26"/>
        </w:object>
      </w:r>
      <w:r w:rsidRPr="00361AAC">
        <w:rPr>
          <w:rFonts w:cs="Arial"/>
        </w:rPr>
        <w:t xml:space="preserve"> </w:t>
      </w:r>
      <w:proofErr w:type="gramStart"/>
      <w:r w:rsidRPr="00361AAC">
        <w:rPr>
          <w:rFonts w:cs="Arial"/>
        </w:rPr>
        <w:t>is</w:t>
      </w:r>
      <w:proofErr w:type="gramEnd"/>
      <w:r w:rsidRPr="00361AAC">
        <w:rPr>
          <w:rFonts w:cs="Arial"/>
        </w:rPr>
        <w:t xml:space="preserve"> the average radiance across 100 detectors</w:t>
      </w:r>
    </w:p>
    <w:p w:rsidR="009310C3" w:rsidRPr="00361AAC" w:rsidRDefault="009310C3" w:rsidP="009310C3">
      <w:pPr>
        <w:tabs>
          <w:tab w:val="left" w:pos="2160"/>
          <w:tab w:val="right" w:pos="8640"/>
        </w:tabs>
        <w:ind w:left="720" w:firstLine="720"/>
        <w:rPr>
          <w:rFonts w:cs="Arial"/>
        </w:rPr>
      </w:pPr>
      <w:r w:rsidRPr="00361AAC">
        <w:rPr>
          <w:rFonts w:cs="Arial"/>
        </w:rPr>
        <w:lastRenderedPageBreak/>
        <w:tab/>
      </w:r>
      <w:r w:rsidRPr="00361AAC">
        <w:rPr>
          <w:rFonts w:cs="Arial"/>
          <w:position w:val="-16"/>
        </w:rPr>
        <w:object w:dxaOrig="2100" w:dyaOrig="480">
          <v:shape id="_x0000_i1035" type="#_x0000_t75" style="width:102.75pt;height:26.25pt" o:ole="">
            <v:imagedata r:id="rId27" o:title=""/>
          </v:shape>
          <o:OLEObject Type="Embed" ProgID="Equation.3" ShapeID="_x0000_i1035" DrawAspect="Content" ObjectID="_1550571239" r:id="rId28"/>
        </w:object>
      </w:r>
      <w:r w:rsidRPr="00361AAC">
        <w:rPr>
          <w:rFonts w:cs="Arial"/>
        </w:rPr>
        <w:tab/>
        <w:t>(8)</w:t>
      </w:r>
    </w:p>
    <w:p w:rsidR="009310C3" w:rsidRPr="00361AAC" w:rsidRDefault="009310C3" w:rsidP="009310C3">
      <w:pPr>
        <w:numPr>
          <w:ilvl w:val="1"/>
          <w:numId w:val="1"/>
        </w:numPr>
        <w:tabs>
          <w:tab w:val="right" w:pos="8640"/>
        </w:tabs>
        <w:spacing w:before="120"/>
        <w:rPr>
          <w:rFonts w:cs="Arial"/>
          <w:i/>
        </w:rPr>
      </w:pPr>
      <w:r w:rsidRPr="00361AAC">
        <w:rPr>
          <w:rFonts w:cs="Arial"/>
        </w:rPr>
        <w:t>Record per-detector banding arrays to database or optionally to a file.</w:t>
      </w:r>
    </w:p>
    <w:p w:rsidR="009310C3" w:rsidRPr="00361AAC" w:rsidRDefault="009310C3" w:rsidP="009310C3">
      <w:pPr>
        <w:numPr>
          <w:ilvl w:val="1"/>
          <w:numId w:val="1"/>
        </w:numPr>
        <w:tabs>
          <w:tab w:val="right" w:pos="8640"/>
        </w:tabs>
        <w:spacing w:before="120"/>
        <w:rPr>
          <w:rFonts w:cs="Arial"/>
          <w:i/>
        </w:rPr>
      </w:pPr>
      <w:r w:rsidRPr="00361AAC">
        <w:rPr>
          <w:rFonts w:cs="Arial"/>
        </w:rPr>
        <w:t>In both of these calculations, the calculation cannot be performed for the detectors at the final edge (i.e., the last 99 detectors). As a result of the banding metrics not being associated with the center detector of the window, it is really the first 50 and last 50 detectors that are not characterized.  However, it is the banding entries for the last 99 detectors that are left blank.</w:t>
      </w:r>
    </w:p>
    <w:p w:rsidR="009310C3" w:rsidRPr="00361AAC" w:rsidRDefault="009310C3" w:rsidP="009310C3">
      <w:pPr>
        <w:numPr>
          <w:ilvl w:val="1"/>
          <w:numId w:val="1"/>
        </w:numPr>
        <w:tabs>
          <w:tab w:val="right" w:pos="8640"/>
        </w:tabs>
        <w:spacing w:before="120"/>
        <w:rPr>
          <w:rFonts w:cs="Arial"/>
          <w:i/>
        </w:rPr>
      </w:pPr>
      <w:r w:rsidRPr="00361AAC">
        <w:rPr>
          <w:rFonts w:cs="Arial"/>
        </w:rPr>
        <w:t xml:space="preserve">In the case where </w:t>
      </w:r>
      <w:proofErr w:type="spellStart"/>
      <w:r w:rsidRPr="00361AAC">
        <w:rPr>
          <w:rFonts w:cs="Arial"/>
        </w:rPr>
        <w:t>i</w:t>
      </w:r>
      <w:proofErr w:type="spellEnd"/>
      <w:r w:rsidRPr="00361AAC">
        <w:rPr>
          <w:rFonts w:cs="Arial"/>
        </w:rPr>
        <w:t xml:space="preserve">…i+99 includes inoperable and/or out-of-spec detectors, the summation should be taken for fewer detectors rather than increasing maintaining the 100 detector average. </w:t>
      </w:r>
    </w:p>
    <w:p w:rsidR="009310C3" w:rsidRPr="00361AAC" w:rsidRDefault="009310C3" w:rsidP="009310C3">
      <w:pPr>
        <w:numPr>
          <w:ilvl w:val="0"/>
          <w:numId w:val="1"/>
        </w:numPr>
        <w:tabs>
          <w:tab w:val="right" w:pos="1440"/>
          <w:tab w:val="right" w:pos="8640"/>
        </w:tabs>
        <w:spacing w:before="120"/>
        <w:rPr>
          <w:rFonts w:cs="Arial"/>
          <w:i/>
        </w:rPr>
      </w:pPr>
      <w:r w:rsidRPr="00361AAC">
        <w:rPr>
          <w:rFonts w:cs="Arial"/>
        </w:rPr>
        <w:t>Calculate streaking metric (Equation 9) for each imaging detector.  Do not calculate the streaking metric for detectors flagged as inoperable and out-of-spec.  Also, do not calculate streaking metric for detectors adjacent to inoperable or out-of-spec detectors.</w:t>
      </w:r>
    </w:p>
    <w:p w:rsidR="009310C3" w:rsidRPr="00361AAC" w:rsidRDefault="009310C3" w:rsidP="009310C3">
      <w:pPr>
        <w:tabs>
          <w:tab w:val="left" w:pos="2160"/>
          <w:tab w:val="right" w:pos="8640"/>
        </w:tabs>
        <w:ind w:left="720" w:firstLine="720"/>
        <w:rPr>
          <w:rFonts w:cs="Arial"/>
        </w:rPr>
      </w:pPr>
      <w:r w:rsidRPr="00361AAC">
        <w:rPr>
          <w:rFonts w:cs="Arial"/>
        </w:rPr>
        <w:tab/>
      </w:r>
      <w:r>
        <w:rPr>
          <w:rFonts w:cs="Arial"/>
          <w:noProof/>
          <w:position w:val="-26"/>
        </w:rPr>
        <w:drawing>
          <wp:inline distT="0" distB="0" distL="0" distR="0" wp14:anchorId="440EB19F" wp14:editId="02C0FC1A">
            <wp:extent cx="1695450" cy="390525"/>
            <wp:effectExtent l="0" t="0" r="0" b="9525"/>
            <wp:docPr id="608"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5450" cy="390525"/>
                    </a:xfrm>
                    <a:prstGeom prst="rect">
                      <a:avLst/>
                    </a:prstGeom>
                    <a:noFill/>
                    <a:ln>
                      <a:noFill/>
                    </a:ln>
                  </pic:spPr>
                </pic:pic>
              </a:graphicData>
            </a:graphic>
          </wp:inline>
        </w:drawing>
      </w:r>
      <w:r w:rsidRPr="00361AAC">
        <w:rPr>
          <w:rFonts w:cs="Arial"/>
        </w:rPr>
        <w:tab/>
        <w:t>(9)</w:t>
      </w:r>
    </w:p>
    <w:p w:rsidR="009310C3" w:rsidRPr="00361AAC" w:rsidRDefault="009310C3" w:rsidP="009310C3">
      <w:pPr>
        <w:ind w:left="1440"/>
        <w:rPr>
          <w:rFonts w:cs="Arial"/>
        </w:rPr>
      </w:pPr>
      <w:r w:rsidRPr="00361AAC">
        <w:rPr>
          <w:rFonts w:cs="Arial"/>
        </w:rPr>
        <w:t>Where:</w:t>
      </w:r>
    </w:p>
    <w:p w:rsidR="009310C3" w:rsidRPr="00361AAC" w:rsidRDefault="009310C3" w:rsidP="009310C3">
      <w:pPr>
        <w:ind w:left="1800"/>
        <w:rPr>
          <w:rFonts w:cs="Arial"/>
        </w:rPr>
      </w:pPr>
      <w:r w:rsidRPr="00361AAC">
        <w:rPr>
          <w:rFonts w:cs="Arial"/>
          <w:position w:val="-8"/>
        </w:rPr>
        <w:object w:dxaOrig="240" w:dyaOrig="280">
          <v:shape id="_x0000_i1036" type="#_x0000_t75" style="width:9.75pt;height:15pt" o:ole="">
            <v:imagedata r:id="rId30" o:title=""/>
          </v:shape>
          <o:OLEObject Type="Embed" ProgID="Equation.3" ShapeID="_x0000_i1036" DrawAspect="Content" ObjectID="_1550571240" r:id="rId31"/>
        </w:object>
      </w:r>
      <w:r w:rsidRPr="00361AAC">
        <w:rPr>
          <w:rFonts w:cs="Arial"/>
        </w:rPr>
        <w:t xml:space="preserve"> </w:t>
      </w:r>
      <w:proofErr w:type="gramStart"/>
      <w:r w:rsidRPr="00361AAC">
        <w:rPr>
          <w:rFonts w:cs="Arial"/>
        </w:rPr>
        <w:t>is</w:t>
      </w:r>
      <w:proofErr w:type="gramEnd"/>
      <w:r w:rsidRPr="00361AAC">
        <w:rPr>
          <w:rFonts w:cs="Arial"/>
        </w:rPr>
        <w:t xml:space="preserve"> the radiance of detector </w:t>
      </w:r>
      <w:proofErr w:type="spellStart"/>
      <w:r w:rsidRPr="00361AAC">
        <w:rPr>
          <w:rFonts w:cs="Arial"/>
        </w:rPr>
        <w:t>i</w:t>
      </w:r>
      <w:proofErr w:type="spellEnd"/>
      <w:r w:rsidRPr="00361AAC">
        <w:rPr>
          <w:rFonts w:cs="Arial"/>
        </w:rPr>
        <w:t>;</w:t>
      </w:r>
    </w:p>
    <w:p w:rsidR="009310C3" w:rsidRPr="00361AAC" w:rsidRDefault="009310C3" w:rsidP="009310C3">
      <w:pPr>
        <w:ind w:left="1800"/>
        <w:rPr>
          <w:rFonts w:cs="Arial"/>
        </w:rPr>
      </w:pPr>
      <w:r w:rsidRPr="00361AAC">
        <w:rPr>
          <w:rFonts w:cs="Arial"/>
          <w:position w:val="-8"/>
        </w:rPr>
        <w:object w:dxaOrig="360" w:dyaOrig="280">
          <v:shape id="_x0000_i1037" type="#_x0000_t75" style="width:21pt;height:15pt" o:ole="">
            <v:imagedata r:id="rId32" o:title=""/>
          </v:shape>
          <o:OLEObject Type="Embed" ProgID="Equation.3" ShapeID="_x0000_i1037" DrawAspect="Content" ObjectID="_1550571241" r:id="rId33"/>
        </w:object>
      </w:r>
      <w:r w:rsidRPr="00361AAC">
        <w:rPr>
          <w:rFonts w:cs="Arial"/>
        </w:rPr>
        <w:t xml:space="preserve"> </w:t>
      </w:r>
      <w:proofErr w:type="gramStart"/>
      <w:r w:rsidRPr="00361AAC">
        <w:rPr>
          <w:rFonts w:cs="Arial"/>
        </w:rPr>
        <w:t>and</w:t>
      </w:r>
      <w:proofErr w:type="gramEnd"/>
      <w:r w:rsidRPr="00361AAC">
        <w:rPr>
          <w:rFonts w:cs="Arial"/>
        </w:rPr>
        <w:t xml:space="preserve"> </w:t>
      </w:r>
      <w:r w:rsidRPr="00361AAC">
        <w:rPr>
          <w:rFonts w:cs="Arial"/>
          <w:position w:val="-8"/>
        </w:rPr>
        <w:object w:dxaOrig="380" w:dyaOrig="280">
          <v:shape id="_x0000_i1038" type="#_x0000_t75" style="width:21pt;height:15pt" o:ole="">
            <v:imagedata r:id="rId34" o:title=""/>
          </v:shape>
          <o:OLEObject Type="Embed" ProgID="Equation.3" ShapeID="_x0000_i1038" DrawAspect="Content" ObjectID="_1550571242" r:id="rId35"/>
        </w:object>
      </w:r>
      <w:r w:rsidRPr="00361AAC">
        <w:rPr>
          <w:rFonts w:cs="Arial"/>
        </w:rPr>
        <w:t xml:space="preserve"> are similarly defined for the (i-1)</w:t>
      </w:r>
      <w:proofErr w:type="spellStart"/>
      <w:r w:rsidRPr="00361AAC">
        <w:rPr>
          <w:rFonts w:cs="Arial"/>
        </w:rPr>
        <w:t>th</w:t>
      </w:r>
      <w:proofErr w:type="spellEnd"/>
      <w:r w:rsidRPr="00361AAC">
        <w:rPr>
          <w:rFonts w:cs="Arial"/>
        </w:rPr>
        <w:t xml:space="preserve"> and (i+1)</w:t>
      </w:r>
      <w:proofErr w:type="spellStart"/>
      <w:r w:rsidRPr="00361AAC">
        <w:rPr>
          <w:rFonts w:cs="Arial"/>
        </w:rPr>
        <w:t>th</w:t>
      </w:r>
      <w:proofErr w:type="spellEnd"/>
      <w:r w:rsidRPr="00361AAC">
        <w:rPr>
          <w:rFonts w:cs="Arial"/>
        </w:rPr>
        <w:t xml:space="preserve"> detector columns.</w:t>
      </w:r>
    </w:p>
    <w:p w:rsidR="009310C3" w:rsidRPr="00361AAC" w:rsidRDefault="009310C3" w:rsidP="009310C3">
      <w:pPr>
        <w:numPr>
          <w:ilvl w:val="1"/>
          <w:numId w:val="1"/>
        </w:numPr>
        <w:tabs>
          <w:tab w:val="right" w:pos="8640"/>
        </w:tabs>
        <w:spacing w:before="120"/>
        <w:rPr>
          <w:rFonts w:cs="Arial"/>
          <w:i/>
        </w:rPr>
      </w:pPr>
      <w:r w:rsidRPr="00361AAC">
        <w:rPr>
          <w:rFonts w:cs="Arial"/>
        </w:rPr>
        <w:t>Record per-detector streaking array to database or optionally to a file.</w:t>
      </w:r>
    </w:p>
    <w:p w:rsidR="00000AB9" w:rsidRDefault="00000AB9">
      <w:bookmarkStart w:id="18" w:name="_GoBack"/>
      <w:bookmarkEnd w:id="18"/>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 w15:restartNumberingAfterBreak="0">
    <w:nsid w:val="46461F18"/>
    <w:multiLevelType w:val="hybridMultilevel"/>
    <w:tmpl w:val="D47ADA7E"/>
    <w:lvl w:ilvl="0" w:tplc="03528370">
      <w:start w:val="1"/>
      <w:numFmt w:val="decimal"/>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7CE832BD"/>
    <w:multiLevelType w:val="hybridMultilevel"/>
    <w:tmpl w:val="6DB0587A"/>
    <w:lvl w:ilvl="0" w:tplc="BCDA511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C3"/>
    <w:rsid w:val="00000AB9"/>
    <w:rsid w:val="0093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82629-668D-4F06-AE2D-630ADEF8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C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310C3"/>
    <w:pPr>
      <w:keepNext/>
      <w:numPr>
        <w:numId w:val="3"/>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9310C3"/>
    <w:pPr>
      <w:keepNext/>
      <w:numPr>
        <w:ilvl w:val="1"/>
        <w:numId w:val="3"/>
      </w:numPr>
      <w:spacing w:before="240" w:after="60"/>
      <w:outlineLvl w:val="1"/>
    </w:pPr>
    <w:rPr>
      <w:rFonts w:cs="Arial"/>
      <w:b/>
      <w:bCs/>
      <w:iCs/>
      <w:sz w:val="28"/>
      <w:szCs w:val="28"/>
    </w:rPr>
  </w:style>
  <w:style w:type="paragraph" w:styleId="Heading3">
    <w:name w:val="heading 3"/>
    <w:basedOn w:val="Normal"/>
    <w:next w:val="Normal"/>
    <w:link w:val="Heading3Char"/>
    <w:qFormat/>
    <w:rsid w:val="009310C3"/>
    <w:pPr>
      <w:keepNext/>
      <w:numPr>
        <w:ilvl w:val="2"/>
        <w:numId w:val="3"/>
      </w:numPr>
      <w:spacing w:before="240" w:after="60"/>
      <w:outlineLvl w:val="2"/>
    </w:pPr>
    <w:rPr>
      <w:b/>
      <w:szCs w:val="20"/>
    </w:rPr>
  </w:style>
  <w:style w:type="paragraph" w:styleId="Heading4">
    <w:name w:val="heading 4"/>
    <w:basedOn w:val="Normal"/>
    <w:next w:val="Normal"/>
    <w:link w:val="Heading4Char"/>
    <w:qFormat/>
    <w:rsid w:val="009310C3"/>
    <w:pPr>
      <w:keepNext/>
      <w:numPr>
        <w:ilvl w:val="3"/>
        <w:numId w:val="3"/>
      </w:numPr>
      <w:spacing w:before="240" w:after="60"/>
      <w:outlineLvl w:val="3"/>
    </w:pPr>
    <w:rPr>
      <w:b/>
      <w:szCs w:val="20"/>
    </w:rPr>
  </w:style>
  <w:style w:type="paragraph" w:styleId="Heading5">
    <w:name w:val="heading 5"/>
    <w:basedOn w:val="Normal"/>
    <w:next w:val="Normal"/>
    <w:link w:val="Heading5Char"/>
    <w:qFormat/>
    <w:rsid w:val="009310C3"/>
    <w:pPr>
      <w:keepNext/>
      <w:numPr>
        <w:ilvl w:val="4"/>
        <w:numId w:val="3"/>
      </w:numPr>
      <w:spacing w:before="240" w:after="60"/>
      <w:outlineLvl w:val="4"/>
    </w:pPr>
    <w:rPr>
      <w:b/>
      <w:szCs w:val="20"/>
    </w:rPr>
  </w:style>
  <w:style w:type="paragraph" w:styleId="Heading6">
    <w:name w:val="heading 6"/>
    <w:basedOn w:val="Normal"/>
    <w:next w:val="Normal"/>
    <w:link w:val="Heading6Char"/>
    <w:qFormat/>
    <w:rsid w:val="009310C3"/>
    <w:pPr>
      <w:keepNext/>
      <w:numPr>
        <w:ilvl w:val="5"/>
        <w:numId w:val="3"/>
      </w:numPr>
      <w:spacing w:before="240" w:after="60"/>
      <w:outlineLvl w:val="5"/>
    </w:pPr>
    <w:rPr>
      <w:b/>
      <w:szCs w:val="20"/>
    </w:rPr>
  </w:style>
  <w:style w:type="paragraph" w:styleId="Heading7">
    <w:name w:val="heading 7"/>
    <w:basedOn w:val="Normal"/>
    <w:next w:val="Normal"/>
    <w:link w:val="Heading7Char"/>
    <w:qFormat/>
    <w:rsid w:val="009310C3"/>
    <w:pPr>
      <w:keepNext/>
      <w:numPr>
        <w:ilvl w:val="6"/>
        <w:numId w:val="3"/>
      </w:numPr>
      <w:spacing w:before="240" w:after="60"/>
      <w:outlineLvl w:val="6"/>
    </w:pPr>
    <w:rPr>
      <w:b/>
      <w:szCs w:val="20"/>
    </w:rPr>
  </w:style>
  <w:style w:type="paragraph" w:styleId="Heading8">
    <w:name w:val="heading 8"/>
    <w:basedOn w:val="Normal"/>
    <w:next w:val="Normal"/>
    <w:link w:val="Heading8Char"/>
    <w:qFormat/>
    <w:rsid w:val="009310C3"/>
    <w:pPr>
      <w:keepNext/>
      <w:numPr>
        <w:ilvl w:val="7"/>
        <w:numId w:val="3"/>
      </w:numPr>
      <w:spacing w:before="240" w:after="60"/>
      <w:outlineLvl w:val="7"/>
    </w:pPr>
    <w:rPr>
      <w:b/>
      <w:szCs w:val="20"/>
    </w:rPr>
  </w:style>
  <w:style w:type="paragraph" w:styleId="Heading9">
    <w:name w:val="heading 9"/>
    <w:basedOn w:val="Normal"/>
    <w:next w:val="Normal"/>
    <w:link w:val="Heading9Char"/>
    <w:qFormat/>
    <w:rsid w:val="009310C3"/>
    <w:pPr>
      <w:keepNext/>
      <w:numPr>
        <w:ilvl w:val="8"/>
        <w:numId w:val="3"/>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0C3"/>
    <w:rPr>
      <w:rFonts w:ascii="Arial" w:eastAsia="Times New Roman" w:hAnsi="Arial" w:cs="Times New Roman"/>
      <w:b/>
      <w:sz w:val="32"/>
      <w:szCs w:val="20"/>
    </w:rPr>
  </w:style>
  <w:style w:type="character" w:customStyle="1" w:styleId="Heading2Char">
    <w:name w:val="Heading 2 Char"/>
    <w:basedOn w:val="DefaultParagraphFont"/>
    <w:link w:val="Heading2"/>
    <w:rsid w:val="009310C3"/>
    <w:rPr>
      <w:rFonts w:ascii="Arial" w:eastAsia="Times New Roman" w:hAnsi="Arial" w:cs="Arial"/>
      <w:b/>
      <w:bCs/>
      <w:iCs/>
      <w:sz w:val="28"/>
      <w:szCs w:val="28"/>
    </w:rPr>
  </w:style>
  <w:style w:type="character" w:customStyle="1" w:styleId="Heading3Char">
    <w:name w:val="Heading 3 Char"/>
    <w:basedOn w:val="DefaultParagraphFont"/>
    <w:link w:val="Heading3"/>
    <w:rsid w:val="009310C3"/>
    <w:rPr>
      <w:rFonts w:ascii="Arial" w:eastAsia="Times New Roman" w:hAnsi="Arial" w:cs="Times New Roman"/>
      <w:b/>
      <w:sz w:val="24"/>
      <w:szCs w:val="20"/>
    </w:rPr>
  </w:style>
  <w:style w:type="character" w:customStyle="1" w:styleId="Heading4Char">
    <w:name w:val="Heading 4 Char"/>
    <w:basedOn w:val="DefaultParagraphFont"/>
    <w:link w:val="Heading4"/>
    <w:rsid w:val="009310C3"/>
    <w:rPr>
      <w:rFonts w:ascii="Arial" w:eastAsia="Times New Roman" w:hAnsi="Arial" w:cs="Times New Roman"/>
      <w:b/>
      <w:sz w:val="24"/>
      <w:szCs w:val="20"/>
    </w:rPr>
  </w:style>
  <w:style w:type="character" w:customStyle="1" w:styleId="Heading5Char">
    <w:name w:val="Heading 5 Char"/>
    <w:basedOn w:val="DefaultParagraphFont"/>
    <w:link w:val="Heading5"/>
    <w:rsid w:val="009310C3"/>
    <w:rPr>
      <w:rFonts w:ascii="Arial" w:eastAsia="Times New Roman" w:hAnsi="Arial" w:cs="Times New Roman"/>
      <w:b/>
      <w:sz w:val="24"/>
      <w:szCs w:val="20"/>
    </w:rPr>
  </w:style>
  <w:style w:type="character" w:customStyle="1" w:styleId="Heading6Char">
    <w:name w:val="Heading 6 Char"/>
    <w:basedOn w:val="DefaultParagraphFont"/>
    <w:link w:val="Heading6"/>
    <w:rsid w:val="009310C3"/>
    <w:rPr>
      <w:rFonts w:ascii="Arial" w:eastAsia="Times New Roman" w:hAnsi="Arial" w:cs="Times New Roman"/>
      <w:b/>
      <w:sz w:val="24"/>
      <w:szCs w:val="20"/>
    </w:rPr>
  </w:style>
  <w:style w:type="character" w:customStyle="1" w:styleId="Heading7Char">
    <w:name w:val="Heading 7 Char"/>
    <w:basedOn w:val="DefaultParagraphFont"/>
    <w:link w:val="Heading7"/>
    <w:rsid w:val="009310C3"/>
    <w:rPr>
      <w:rFonts w:ascii="Arial" w:eastAsia="Times New Roman" w:hAnsi="Arial" w:cs="Times New Roman"/>
      <w:b/>
      <w:sz w:val="24"/>
      <w:szCs w:val="20"/>
    </w:rPr>
  </w:style>
  <w:style w:type="character" w:customStyle="1" w:styleId="Heading8Char">
    <w:name w:val="Heading 8 Char"/>
    <w:basedOn w:val="DefaultParagraphFont"/>
    <w:link w:val="Heading8"/>
    <w:rsid w:val="009310C3"/>
    <w:rPr>
      <w:rFonts w:ascii="Arial" w:eastAsia="Times New Roman" w:hAnsi="Arial" w:cs="Times New Roman"/>
      <w:b/>
      <w:sz w:val="24"/>
      <w:szCs w:val="20"/>
    </w:rPr>
  </w:style>
  <w:style w:type="character" w:customStyle="1" w:styleId="Heading9Char">
    <w:name w:val="Heading 9 Char"/>
    <w:basedOn w:val="DefaultParagraphFont"/>
    <w:link w:val="Heading9"/>
    <w:rsid w:val="009310C3"/>
    <w:rPr>
      <w:rFonts w:ascii="Arial" w:eastAsia="Times New Roman" w:hAnsi="Arial" w:cs="Arial"/>
      <w:b/>
      <w:sz w:val="24"/>
    </w:rPr>
  </w:style>
  <w:style w:type="paragraph" w:styleId="Caption">
    <w:name w:val="caption"/>
    <w:basedOn w:val="Normal"/>
    <w:next w:val="Normal"/>
    <w:qFormat/>
    <w:rsid w:val="009310C3"/>
    <w:pPr>
      <w:spacing w:before="240" w:after="240"/>
      <w:jc w:val="center"/>
    </w:pPr>
    <w:rPr>
      <w:b/>
      <w:bCs/>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image" Target="media/image17.emf"/><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emf"/><Relationship Id="rId24" Type="http://schemas.openxmlformats.org/officeDocument/2006/relationships/oleObject" Target="embeddings/oleObject9.bin"/><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9.e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emf"/><Relationship Id="rId30" Type="http://schemas.openxmlformats.org/officeDocument/2006/relationships/image" Target="media/image15.e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7801</Characters>
  <Application>Microsoft Office Word</Application>
  <DocSecurity>0</DocSecurity>
  <Lines>65</Lines>
  <Paragraphs>18</Paragraphs>
  <ScaleCrop>false</ScaleCrop>
  <Company>USGS EROS</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2017-03-09T17:52:00Z</dcterms:created>
  <dcterms:modified xsi:type="dcterms:W3CDTF">2017-03-09T17:53:00Z</dcterms:modified>
</cp:coreProperties>
</file>