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3" w:sz="0" w:val="none"/>
          <w:left w:color="auto" w:space="0" w:sz="0" w:val="none"/>
          <w:bottom w:color="auto" w:space="3" w:sz="0" w:val="none"/>
          <w:right w:color="auto" w:space="0" w:sz="0" w:val="none"/>
          <w:between w:color="auto" w:space="3" w:sz="0" w:val="none"/>
        </w:pBdr>
        <w:shd w:fill="ffffff" w:val="clear"/>
        <w:spacing w:after="0" w:before="0" w:line="335.99999999999994" w:lineRule="auto"/>
        <w:rPr/>
      </w:pPr>
      <w:bookmarkStart w:colFirst="0" w:colLast="0" w:name="_gbgwiadwkc05" w:id="0"/>
      <w:bookmarkEnd w:id="0"/>
      <w:r w:rsidDel="00000000" w:rsidR="00000000" w:rsidRPr="00000000">
        <w:rPr>
          <w:color w:val="37702e"/>
          <w:sz w:val="30"/>
          <w:szCs w:val="30"/>
          <w:rtl w:val="0"/>
        </w:rPr>
        <w:t xml:space="preserve">Special Issue "Applying Earth Surface Monitoring to Investigate Climate and Land Change Interactions"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https://www.mdpi.com/journal/remotesensing/special_issues/earth_surface_monitoring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dpi.com/journal/remotesensing/special_issues/earth_surface_monito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