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C5F" w:rsidRDefault="00777C5F" w:rsidP="00777C5F">
      <w:pPr>
        <w:pStyle w:val="DocumentationHead2"/>
      </w:pPr>
      <w:r>
        <w:t>QA Raster Creation</w:t>
      </w:r>
    </w:p>
    <w:p w:rsidR="00777C5F" w:rsidRDefault="00777C5F" w:rsidP="00777C5F">
      <w:pPr>
        <w:pStyle w:val="DocumentationHead2"/>
        <w:rPr>
          <w:rFonts w:ascii="Helvetica" w:hAnsi="Helvetica"/>
          <w:b w:val="0"/>
          <w:sz w:val="24"/>
        </w:rPr>
      </w:pPr>
      <w:r>
        <w:rPr>
          <w:rFonts w:ascii="Helvetica" w:hAnsi="Helvetica"/>
          <w:b w:val="0"/>
          <w:sz w:val="24"/>
        </w:rPr>
        <w:t>During the PAPA Algorithm individual pixels can be replaced with 7 different options, to keep track of those changes a QA raster is created.</w:t>
      </w:r>
    </w:p>
    <w:p w:rsidR="00A7182B" w:rsidRDefault="00FC4456" w:rsidP="00777C5F">
      <w:pPr>
        <w:pStyle w:val="DocumentationHead2"/>
        <w:rPr>
          <w:rFonts w:ascii="Helvetica" w:hAnsi="Helvetica"/>
          <w:b w:val="0"/>
          <w:sz w:val="24"/>
        </w:rPr>
      </w:pPr>
      <w:r>
        <w:rPr>
          <w:rFonts w:ascii="Helvetica" w:hAnsi="Helvetica"/>
          <w:b w:val="0"/>
          <w:sz w:val="24"/>
        </w:rPr>
        <w:t xml:space="preserve">The raster for 1 </w:t>
      </w:r>
      <w:proofErr w:type="spellStart"/>
      <w:r>
        <w:rPr>
          <w:rFonts w:ascii="Helvetica" w:hAnsi="Helvetica"/>
          <w:b w:val="0"/>
          <w:sz w:val="24"/>
        </w:rPr>
        <w:t>dekad</w:t>
      </w:r>
      <w:proofErr w:type="spellEnd"/>
      <w:r>
        <w:rPr>
          <w:rFonts w:ascii="Helvetica" w:hAnsi="Helvetica"/>
          <w:b w:val="0"/>
          <w:sz w:val="24"/>
        </w:rPr>
        <w:t xml:space="preserve"> (or processing unit) will be a .</w:t>
      </w:r>
      <w:proofErr w:type="spellStart"/>
      <w:r>
        <w:rPr>
          <w:rFonts w:ascii="Helvetica" w:hAnsi="Helvetica"/>
          <w:b w:val="0"/>
          <w:sz w:val="24"/>
        </w:rPr>
        <w:t>tif</w:t>
      </w:r>
      <w:proofErr w:type="spellEnd"/>
      <w:r>
        <w:rPr>
          <w:rFonts w:ascii="Helvetica" w:hAnsi="Helvetica"/>
          <w:b w:val="0"/>
          <w:sz w:val="24"/>
        </w:rPr>
        <w:t xml:space="preserve"> raster with </w:t>
      </w:r>
      <w:r w:rsidR="00406CCE">
        <w:rPr>
          <w:rFonts w:ascii="Helvetica" w:hAnsi="Helvetica"/>
          <w:b w:val="0"/>
          <w:sz w:val="24"/>
        </w:rPr>
        <w:t>v</w:t>
      </w:r>
      <w:r>
        <w:rPr>
          <w:rFonts w:ascii="Helvetica" w:hAnsi="Helvetica"/>
          <w:b w:val="0"/>
          <w:sz w:val="24"/>
        </w:rPr>
        <w:t>alue</w:t>
      </w:r>
      <w:r w:rsidR="00406CCE">
        <w:rPr>
          <w:rFonts w:ascii="Helvetica" w:hAnsi="Helvetica"/>
          <w:b w:val="0"/>
          <w:sz w:val="24"/>
        </w:rPr>
        <w:t>s</w:t>
      </w:r>
      <w:r>
        <w:rPr>
          <w:rFonts w:ascii="Helvetica" w:hAnsi="Helvetica"/>
          <w:b w:val="0"/>
          <w:sz w:val="24"/>
        </w:rPr>
        <w:t xml:space="preserve"> </w:t>
      </w:r>
      <w:r w:rsidR="00406CCE">
        <w:rPr>
          <w:rFonts w:ascii="Helvetica" w:hAnsi="Helvetica"/>
          <w:b w:val="0"/>
          <w:sz w:val="24"/>
        </w:rPr>
        <w:t>ranging from 1-7</w:t>
      </w:r>
      <w:r>
        <w:rPr>
          <w:rFonts w:ascii="Helvetica" w:hAnsi="Helvetica"/>
          <w:b w:val="0"/>
          <w:sz w:val="24"/>
        </w:rPr>
        <w:t xml:space="preserve">. </w:t>
      </w:r>
      <w:r w:rsidR="00A7182B">
        <w:rPr>
          <w:rFonts w:ascii="Helvetica" w:hAnsi="Helvetica"/>
          <w:b w:val="0"/>
          <w:sz w:val="24"/>
        </w:rPr>
        <w:t xml:space="preserve">If the </w:t>
      </w:r>
      <w:proofErr w:type="spellStart"/>
      <w:r w:rsidR="00A7182B">
        <w:rPr>
          <w:rFonts w:ascii="Helvetica" w:hAnsi="Helvetica"/>
          <w:b w:val="0"/>
          <w:sz w:val="24"/>
        </w:rPr>
        <w:t>ETf</w:t>
      </w:r>
      <w:proofErr w:type="spellEnd"/>
      <w:r w:rsidR="00A7182B">
        <w:rPr>
          <w:rFonts w:ascii="Helvetica" w:hAnsi="Helvetica"/>
          <w:b w:val="0"/>
          <w:sz w:val="24"/>
        </w:rPr>
        <w:t xml:space="preserve"> value doesn’t meet the</w:t>
      </w:r>
      <w:r w:rsidR="00444B16">
        <w:rPr>
          <w:rFonts w:ascii="Helvetica" w:hAnsi="Helvetica"/>
          <w:b w:val="0"/>
          <w:sz w:val="24"/>
        </w:rPr>
        <w:t xml:space="preserve"> set</w:t>
      </w:r>
      <w:r w:rsidR="00A7182B">
        <w:rPr>
          <w:rFonts w:ascii="Helvetica" w:hAnsi="Helvetica"/>
          <w:b w:val="0"/>
          <w:sz w:val="24"/>
        </w:rPr>
        <w:t xml:space="preserve"> condition</w:t>
      </w:r>
      <w:r w:rsidR="00444B16">
        <w:rPr>
          <w:rFonts w:ascii="Helvetica" w:hAnsi="Helvetica"/>
          <w:b w:val="0"/>
          <w:sz w:val="24"/>
        </w:rPr>
        <w:t>s</w:t>
      </w:r>
      <w:r w:rsidR="00A7182B">
        <w:rPr>
          <w:rFonts w:ascii="Helvetica" w:hAnsi="Helvetica"/>
          <w:b w:val="0"/>
          <w:sz w:val="24"/>
        </w:rPr>
        <w:t xml:space="preserve"> of &lt; 1.3 then the value gets replaced by the following:</w:t>
      </w:r>
    </w:p>
    <w:p w:rsidR="00A7182B" w:rsidRDefault="00A7182B" w:rsidP="00A7182B">
      <w:pPr>
        <w:pStyle w:val="DocumentationHead2"/>
        <w:numPr>
          <w:ilvl w:val="0"/>
          <w:numId w:val="1"/>
        </w:numPr>
        <w:spacing w:before="0" w:after="0"/>
        <w:rPr>
          <w:rFonts w:ascii="Helvetica" w:hAnsi="Helvetica"/>
          <w:b w:val="0"/>
          <w:sz w:val="24"/>
        </w:rPr>
      </w:pPr>
      <w:r>
        <w:rPr>
          <w:rFonts w:ascii="Helvetica" w:hAnsi="Helvetica"/>
          <w:b w:val="0"/>
          <w:sz w:val="24"/>
        </w:rPr>
        <w:t xml:space="preserve">Pre </w:t>
      </w:r>
      <w:proofErr w:type="spellStart"/>
      <w:r>
        <w:rPr>
          <w:rFonts w:ascii="Helvetica" w:hAnsi="Helvetica"/>
          <w:b w:val="0"/>
          <w:sz w:val="24"/>
        </w:rPr>
        <w:t>dekad</w:t>
      </w:r>
      <w:proofErr w:type="spellEnd"/>
      <w:r>
        <w:rPr>
          <w:rFonts w:ascii="Helvetica" w:hAnsi="Helvetica"/>
          <w:b w:val="0"/>
          <w:sz w:val="24"/>
        </w:rPr>
        <w:t xml:space="preserve"> raster</w:t>
      </w:r>
    </w:p>
    <w:p w:rsidR="00A7182B" w:rsidRDefault="00A7182B" w:rsidP="00A7182B">
      <w:pPr>
        <w:pStyle w:val="DocumentationHead2"/>
        <w:numPr>
          <w:ilvl w:val="0"/>
          <w:numId w:val="1"/>
        </w:numPr>
        <w:spacing w:before="0" w:after="0"/>
        <w:rPr>
          <w:rFonts w:ascii="Helvetica" w:hAnsi="Helvetica"/>
          <w:b w:val="0"/>
          <w:sz w:val="24"/>
        </w:rPr>
      </w:pPr>
      <w:r>
        <w:rPr>
          <w:rFonts w:ascii="Helvetica" w:hAnsi="Helvetica"/>
          <w:b w:val="0"/>
          <w:sz w:val="24"/>
        </w:rPr>
        <w:t xml:space="preserve">Next </w:t>
      </w:r>
      <w:proofErr w:type="spellStart"/>
      <w:r>
        <w:rPr>
          <w:rFonts w:ascii="Helvetica" w:hAnsi="Helvetica"/>
          <w:b w:val="0"/>
          <w:sz w:val="24"/>
        </w:rPr>
        <w:t>dekad</w:t>
      </w:r>
      <w:proofErr w:type="spellEnd"/>
      <w:r>
        <w:rPr>
          <w:rFonts w:ascii="Helvetica" w:hAnsi="Helvetica"/>
          <w:b w:val="0"/>
          <w:sz w:val="24"/>
        </w:rPr>
        <w:t xml:space="preserve"> raster</w:t>
      </w:r>
    </w:p>
    <w:p w:rsidR="00A7182B" w:rsidRDefault="00A7182B" w:rsidP="00A7182B">
      <w:pPr>
        <w:pStyle w:val="DocumentationHead2"/>
        <w:numPr>
          <w:ilvl w:val="0"/>
          <w:numId w:val="1"/>
        </w:numPr>
        <w:spacing w:before="0" w:after="0"/>
        <w:rPr>
          <w:rFonts w:ascii="Helvetica" w:hAnsi="Helvetica"/>
          <w:b w:val="0"/>
          <w:sz w:val="24"/>
        </w:rPr>
      </w:pPr>
      <w:r>
        <w:rPr>
          <w:rFonts w:ascii="Helvetica" w:hAnsi="Helvetica"/>
          <w:b w:val="0"/>
          <w:sz w:val="24"/>
        </w:rPr>
        <w:t xml:space="preserve">The raster before the pre </w:t>
      </w:r>
      <w:proofErr w:type="spellStart"/>
      <w:r>
        <w:rPr>
          <w:rFonts w:ascii="Helvetica" w:hAnsi="Helvetica"/>
          <w:b w:val="0"/>
          <w:sz w:val="24"/>
        </w:rPr>
        <w:t>dekad</w:t>
      </w:r>
      <w:proofErr w:type="spellEnd"/>
      <w:r>
        <w:rPr>
          <w:rFonts w:ascii="Helvetica" w:hAnsi="Helvetica"/>
          <w:b w:val="0"/>
          <w:sz w:val="24"/>
        </w:rPr>
        <w:t xml:space="preserve"> raster</w:t>
      </w:r>
    </w:p>
    <w:p w:rsidR="00A7182B" w:rsidRDefault="00A7182B" w:rsidP="00A7182B">
      <w:pPr>
        <w:pStyle w:val="DocumentationHead2"/>
        <w:numPr>
          <w:ilvl w:val="0"/>
          <w:numId w:val="1"/>
        </w:numPr>
        <w:spacing w:before="0" w:after="0"/>
        <w:rPr>
          <w:rFonts w:ascii="Helvetica" w:hAnsi="Helvetica"/>
          <w:b w:val="0"/>
          <w:sz w:val="24"/>
        </w:rPr>
      </w:pPr>
      <w:r>
        <w:rPr>
          <w:rFonts w:ascii="Helvetica" w:hAnsi="Helvetica"/>
          <w:b w:val="0"/>
          <w:sz w:val="24"/>
        </w:rPr>
        <w:t xml:space="preserve">The raster after the next </w:t>
      </w:r>
      <w:proofErr w:type="spellStart"/>
      <w:r>
        <w:rPr>
          <w:rFonts w:ascii="Helvetica" w:hAnsi="Helvetica"/>
          <w:b w:val="0"/>
          <w:sz w:val="24"/>
        </w:rPr>
        <w:t>dekad</w:t>
      </w:r>
      <w:proofErr w:type="spellEnd"/>
      <w:r>
        <w:rPr>
          <w:rFonts w:ascii="Helvetica" w:hAnsi="Helvetica"/>
          <w:b w:val="0"/>
          <w:sz w:val="24"/>
        </w:rPr>
        <w:t xml:space="preserve"> raster</w:t>
      </w:r>
    </w:p>
    <w:p w:rsidR="00A7182B" w:rsidRDefault="00A7182B" w:rsidP="00A7182B">
      <w:pPr>
        <w:pStyle w:val="DocumentationHead2"/>
        <w:numPr>
          <w:ilvl w:val="0"/>
          <w:numId w:val="1"/>
        </w:numPr>
        <w:spacing w:before="0" w:after="0"/>
        <w:rPr>
          <w:rFonts w:ascii="Helvetica" w:hAnsi="Helvetica"/>
          <w:b w:val="0"/>
          <w:sz w:val="24"/>
        </w:rPr>
      </w:pPr>
      <w:r>
        <w:rPr>
          <w:rFonts w:ascii="Helvetica" w:hAnsi="Helvetica"/>
          <w:b w:val="0"/>
          <w:sz w:val="24"/>
        </w:rPr>
        <w:t xml:space="preserve">Median </w:t>
      </w:r>
      <w:proofErr w:type="spellStart"/>
      <w:r>
        <w:rPr>
          <w:rFonts w:ascii="Helvetica" w:hAnsi="Helvetica"/>
          <w:b w:val="0"/>
          <w:sz w:val="24"/>
        </w:rPr>
        <w:t>ETf</w:t>
      </w:r>
      <w:proofErr w:type="spellEnd"/>
      <w:r>
        <w:rPr>
          <w:rFonts w:ascii="Helvetica" w:hAnsi="Helvetica"/>
          <w:b w:val="0"/>
          <w:sz w:val="24"/>
        </w:rPr>
        <w:t xml:space="preserve"> created earlier</w:t>
      </w:r>
    </w:p>
    <w:p w:rsidR="00A7182B" w:rsidRDefault="00A7182B" w:rsidP="00A7182B">
      <w:pPr>
        <w:pStyle w:val="DocumentationHead2"/>
        <w:numPr>
          <w:ilvl w:val="0"/>
          <w:numId w:val="1"/>
        </w:numPr>
        <w:spacing w:before="0" w:after="0"/>
        <w:rPr>
          <w:rFonts w:ascii="Helvetica" w:hAnsi="Helvetica"/>
          <w:b w:val="0"/>
          <w:sz w:val="24"/>
        </w:rPr>
      </w:pPr>
      <w:r>
        <w:rPr>
          <w:rFonts w:ascii="Helvetica" w:hAnsi="Helvetica"/>
          <w:b w:val="0"/>
          <w:sz w:val="24"/>
        </w:rPr>
        <w:t xml:space="preserve">A value of </w:t>
      </w:r>
      <w:r w:rsidR="008B559E">
        <w:rPr>
          <w:rFonts w:ascii="Helvetica" w:hAnsi="Helvetica"/>
          <w:b w:val="0"/>
          <w:sz w:val="24"/>
        </w:rPr>
        <w:t>1.05</w:t>
      </w:r>
    </w:p>
    <w:p w:rsidR="00A7182B" w:rsidRDefault="00A7182B" w:rsidP="00A7182B">
      <w:pPr>
        <w:pStyle w:val="DocumentationHead2"/>
        <w:spacing w:before="0" w:after="0"/>
        <w:rPr>
          <w:rFonts w:ascii="Helvetica" w:hAnsi="Helvetica"/>
          <w:b w:val="0"/>
          <w:sz w:val="24"/>
        </w:rPr>
      </w:pPr>
      <w:r>
        <w:rPr>
          <w:rFonts w:ascii="Helvetica" w:hAnsi="Helvetica"/>
          <w:b w:val="0"/>
          <w:sz w:val="24"/>
        </w:rPr>
        <w:t>This is a graphical presentation of the values.</w:t>
      </w:r>
    </w:p>
    <w:p w:rsidR="00444B16" w:rsidRDefault="00444B16" w:rsidP="00A7182B">
      <w:pPr>
        <w:pStyle w:val="DocumentationHead2"/>
        <w:spacing w:before="0" w:after="0"/>
        <w:rPr>
          <w:rFonts w:ascii="Helvetica" w:hAnsi="Helvetica"/>
          <w:b w:val="0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1170"/>
      </w:tblGrid>
      <w:tr w:rsidR="00444B16" w:rsidTr="00444B16">
        <w:tc>
          <w:tcPr>
            <w:tcW w:w="2695" w:type="dxa"/>
          </w:tcPr>
          <w:p w:rsidR="00444B16" w:rsidRDefault="00444B16" w:rsidP="00A7182B">
            <w:pPr>
              <w:pStyle w:val="DocumentationHead2"/>
              <w:spacing w:before="0" w:after="0"/>
              <w:rPr>
                <w:rFonts w:ascii="Helvetica" w:hAnsi="Helvetica"/>
                <w:b w:val="0"/>
                <w:sz w:val="24"/>
              </w:rPr>
            </w:pPr>
            <w:r>
              <w:rPr>
                <w:rFonts w:ascii="Helvetica" w:hAnsi="Helvetica"/>
                <w:b w:val="0"/>
                <w:sz w:val="24"/>
              </w:rPr>
              <w:t xml:space="preserve">Original </w:t>
            </w:r>
            <w:proofErr w:type="spellStart"/>
            <w:r>
              <w:rPr>
                <w:rFonts w:ascii="Helvetica" w:hAnsi="Helvetica"/>
                <w:b w:val="0"/>
                <w:sz w:val="24"/>
              </w:rPr>
              <w:t>ETf</w:t>
            </w:r>
            <w:proofErr w:type="spellEnd"/>
          </w:p>
        </w:tc>
        <w:tc>
          <w:tcPr>
            <w:tcW w:w="1170" w:type="dxa"/>
            <w:shd w:val="clear" w:color="auto" w:fill="D9D9D9" w:themeFill="background1" w:themeFillShade="D9"/>
          </w:tcPr>
          <w:p w:rsidR="00444B16" w:rsidRDefault="00444B16" w:rsidP="00A7182B">
            <w:pPr>
              <w:pStyle w:val="DocumentationHead2"/>
              <w:spacing w:before="0" w:after="0"/>
              <w:rPr>
                <w:rFonts w:ascii="Helvetica" w:hAnsi="Helvetica"/>
                <w:b w:val="0"/>
                <w:sz w:val="24"/>
              </w:rPr>
            </w:pPr>
            <w:r>
              <w:rPr>
                <w:rFonts w:ascii="Helvetica" w:hAnsi="Helvetica"/>
                <w:b w:val="0"/>
                <w:sz w:val="24"/>
              </w:rPr>
              <w:t xml:space="preserve">1 </w:t>
            </w:r>
          </w:p>
        </w:tc>
      </w:tr>
      <w:tr w:rsidR="00444B16" w:rsidTr="00444B16">
        <w:tc>
          <w:tcPr>
            <w:tcW w:w="2695" w:type="dxa"/>
          </w:tcPr>
          <w:p w:rsidR="00444B16" w:rsidRDefault="00444B16" w:rsidP="00444B16">
            <w:pPr>
              <w:pStyle w:val="DocumentationHead2"/>
              <w:numPr>
                <w:ilvl w:val="0"/>
                <w:numId w:val="2"/>
              </w:numPr>
              <w:spacing w:before="0" w:after="0"/>
              <w:rPr>
                <w:rFonts w:ascii="Helvetica" w:hAnsi="Helvetica"/>
                <w:b w:val="0"/>
                <w:sz w:val="24"/>
              </w:rPr>
            </w:pPr>
            <w:proofErr w:type="gramStart"/>
            <w:r>
              <w:rPr>
                <w:rFonts w:ascii="Helvetica" w:hAnsi="Helvetica"/>
                <w:b w:val="0"/>
                <w:sz w:val="24"/>
              </w:rPr>
              <w:t>Pre raster</w:t>
            </w:r>
            <w:proofErr w:type="gramEnd"/>
          </w:p>
        </w:tc>
        <w:tc>
          <w:tcPr>
            <w:tcW w:w="1170" w:type="dxa"/>
            <w:shd w:val="clear" w:color="auto" w:fill="FFD966" w:themeFill="accent4" w:themeFillTint="99"/>
          </w:tcPr>
          <w:p w:rsidR="00444B16" w:rsidRDefault="00444B16" w:rsidP="00A7182B">
            <w:pPr>
              <w:pStyle w:val="DocumentationHead2"/>
              <w:spacing w:before="0" w:after="0"/>
              <w:rPr>
                <w:rFonts w:ascii="Helvetica" w:hAnsi="Helvetica"/>
                <w:b w:val="0"/>
                <w:sz w:val="24"/>
              </w:rPr>
            </w:pPr>
            <w:r>
              <w:rPr>
                <w:rFonts w:ascii="Helvetica" w:hAnsi="Helvetica"/>
                <w:b w:val="0"/>
                <w:sz w:val="24"/>
              </w:rPr>
              <w:t>2</w:t>
            </w:r>
          </w:p>
        </w:tc>
        <w:bookmarkStart w:id="0" w:name="_GoBack"/>
        <w:bookmarkEnd w:id="0"/>
      </w:tr>
      <w:tr w:rsidR="00444B16" w:rsidTr="00444B16">
        <w:tc>
          <w:tcPr>
            <w:tcW w:w="2695" w:type="dxa"/>
          </w:tcPr>
          <w:p w:rsidR="00444B16" w:rsidRPr="00444B16" w:rsidRDefault="00444B16" w:rsidP="00444B16">
            <w:pPr>
              <w:pStyle w:val="DocumentationHead2"/>
              <w:numPr>
                <w:ilvl w:val="0"/>
                <w:numId w:val="3"/>
              </w:numPr>
              <w:spacing w:before="0" w:after="0"/>
              <w:rPr>
                <w:rFonts w:ascii="Helvetica" w:hAnsi="Helvetica"/>
                <w:b w:val="0"/>
                <w:sz w:val="24"/>
              </w:rPr>
            </w:pPr>
            <w:r>
              <w:rPr>
                <w:rFonts w:ascii="Helvetica" w:hAnsi="Helvetica"/>
                <w:b w:val="0"/>
                <w:sz w:val="24"/>
              </w:rPr>
              <w:t>Next raster</w:t>
            </w:r>
          </w:p>
        </w:tc>
        <w:tc>
          <w:tcPr>
            <w:tcW w:w="1170" w:type="dxa"/>
            <w:shd w:val="clear" w:color="auto" w:fill="9CC2E5" w:themeFill="accent5" w:themeFillTint="99"/>
          </w:tcPr>
          <w:p w:rsidR="00444B16" w:rsidRDefault="00444B16" w:rsidP="00A7182B">
            <w:pPr>
              <w:pStyle w:val="DocumentationHead2"/>
              <w:spacing w:before="0" w:after="0"/>
              <w:rPr>
                <w:rFonts w:ascii="Helvetica" w:hAnsi="Helvetica"/>
                <w:b w:val="0"/>
                <w:sz w:val="24"/>
              </w:rPr>
            </w:pPr>
            <w:r>
              <w:rPr>
                <w:rFonts w:ascii="Helvetica" w:hAnsi="Helvetica"/>
                <w:b w:val="0"/>
                <w:sz w:val="24"/>
              </w:rPr>
              <w:t>3</w:t>
            </w:r>
          </w:p>
        </w:tc>
      </w:tr>
      <w:tr w:rsidR="00444B16" w:rsidTr="00444B16">
        <w:tc>
          <w:tcPr>
            <w:tcW w:w="2695" w:type="dxa"/>
          </w:tcPr>
          <w:p w:rsidR="00444B16" w:rsidRDefault="00444B16" w:rsidP="00444B16">
            <w:pPr>
              <w:pStyle w:val="DocumentationHead2"/>
              <w:numPr>
                <w:ilvl w:val="0"/>
                <w:numId w:val="3"/>
              </w:numPr>
              <w:spacing w:before="0" w:after="0"/>
              <w:rPr>
                <w:rFonts w:ascii="Helvetica" w:hAnsi="Helvetica"/>
                <w:b w:val="0"/>
                <w:sz w:val="24"/>
              </w:rPr>
            </w:pPr>
            <w:proofErr w:type="gramStart"/>
            <w:r>
              <w:rPr>
                <w:rFonts w:ascii="Helvetica" w:hAnsi="Helvetica"/>
                <w:b w:val="0"/>
                <w:sz w:val="24"/>
              </w:rPr>
              <w:t>Pre raster</w:t>
            </w:r>
            <w:proofErr w:type="gramEnd"/>
          </w:p>
        </w:tc>
        <w:tc>
          <w:tcPr>
            <w:tcW w:w="1170" w:type="dxa"/>
            <w:shd w:val="clear" w:color="auto" w:fill="ED7D31" w:themeFill="accent2"/>
          </w:tcPr>
          <w:p w:rsidR="00444B16" w:rsidRDefault="00444B16" w:rsidP="00A7182B">
            <w:pPr>
              <w:pStyle w:val="DocumentationHead2"/>
              <w:spacing w:before="0" w:after="0"/>
              <w:rPr>
                <w:rFonts w:ascii="Helvetica" w:hAnsi="Helvetica"/>
                <w:b w:val="0"/>
                <w:sz w:val="24"/>
              </w:rPr>
            </w:pPr>
            <w:r>
              <w:rPr>
                <w:rFonts w:ascii="Helvetica" w:hAnsi="Helvetica"/>
                <w:b w:val="0"/>
                <w:sz w:val="24"/>
              </w:rPr>
              <w:t>4</w:t>
            </w:r>
          </w:p>
        </w:tc>
      </w:tr>
      <w:tr w:rsidR="00444B16" w:rsidTr="00444B16">
        <w:tc>
          <w:tcPr>
            <w:tcW w:w="2695" w:type="dxa"/>
          </w:tcPr>
          <w:p w:rsidR="00444B16" w:rsidRDefault="00444B16" w:rsidP="00444B16">
            <w:pPr>
              <w:pStyle w:val="DocumentationHead2"/>
              <w:spacing w:before="0" w:after="0"/>
              <w:rPr>
                <w:rFonts w:ascii="Helvetica" w:hAnsi="Helvetica"/>
                <w:b w:val="0"/>
                <w:sz w:val="24"/>
              </w:rPr>
            </w:pPr>
            <w:r>
              <w:rPr>
                <w:rFonts w:ascii="Helvetica" w:hAnsi="Helvetica"/>
                <w:b w:val="0"/>
                <w:sz w:val="24"/>
              </w:rPr>
              <w:t xml:space="preserve">     </w:t>
            </w:r>
            <w:r w:rsidRPr="00444B16">
              <w:rPr>
                <w:rFonts w:ascii="Helvetica" w:hAnsi="Helvetica"/>
                <w:b w:val="0"/>
                <w:sz w:val="24"/>
              </w:rPr>
              <w:t>2.</w:t>
            </w:r>
            <w:r>
              <w:rPr>
                <w:rFonts w:ascii="Helvetica" w:hAnsi="Helvetica"/>
                <w:b w:val="0"/>
                <w:sz w:val="24"/>
              </w:rPr>
              <w:t xml:space="preserve"> Next raster</w:t>
            </w:r>
          </w:p>
        </w:tc>
        <w:tc>
          <w:tcPr>
            <w:tcW w:w="1170" w:type="dxa"/>
            <w:shd w:val="clear" w:color="auto" w:fill="8EAADB" w:themeFill="accent1" w:themeFillTint="99"/>
          </w:tcPr>
          <w:p w:rsidR="00444B16" w:rsidRDefault="00444B16" w:rsidP="00A7182B">
            <w:pPr>
              <w:pStyle w:val="DocumentationHead2"/>
              <w:spacing w:before="0" w:after="0"/>
              <w:rPr>
                <w:rFonts w:ascii="Helvetica" w:hAnsi="Helvetica"/>
                <w:b w:val="0"/>
                <w:sz w:val="24"/>
              </w:rPr>
            </w:pPr>
            <w:r>
              <w:rPr>
                <w:rFonts w:ascii="Helvetica" w:hAnsi="Helvetica"/>
                <w:b w:val="0"/>
                <w:sz w:val="24"/>
              </w:rPr>
              <w:t>5</w:t>
            </w:r>
          </w:p>
        </w:tc>
      </w:tr>
      <w:tr w:rsidR="00444B16" w:rsidTr="00444B16">
        <w:tc>
          <w:tcPr>
            <w:tcW w:w="2695" w:type="dxa"/>
          </w:tcPr>
          <w:p w:rsidR="00444B16" w:rsidRDefault="00444B16" w:rsidP="00A7182B">
            <w:pPr>
              <w:pStyle w:val="DocumentationHead2"/>
              <w:spacing w:before="0" w:after="0"/>
              <w:rPr>
                <w:rFonts w:ascii="Helvetica" w:hAnsi="Helvetica"/>
                <w:b w:val="0"/>
                <w:sz w:val="24"/>
              </w:rPr>
            </w:pPr>
            <w:r>
              <w:rPr>
                <w:rFonts w:ascii="Helvetica" w:hAnsi="Helvetica"/>
                <w:b w:val="0"/>
                <w:sz w:val="24"/>
              </w:rPr>
              <w:t xml:space="preserve">Median </w:t>
            </w:r>
            <w:proofErr w:type="spellStart"/>
            <w:r>
              <w:rPr>
                <w:rFonts w:ascii="Helvetica" w:hAnsi="Helvetica"/>
                <w:b w:val="0"/>
                <w:sz w:val="24"/>
              </w:rPr>
              <w:t>ETf</w:t>
            </w:r>
            <w:proofErr w:type="spellEnd"/>
          </w:p>
        </w:tc>
        <w:tc>
          <w:tcPr>
            <w:tcW w:w="1170" w:type="dxa"/>
            <w:shd w:val="clear" w:color="auto" w:fill="70AD47" w:themeFill="accent6"/>
          </w:tcPr>
          <w:p w:rsidR="00444B16" w:rsidRDefault="00444B16" w:rsidP="00A7182B">
            <w:pPr>
              <w:pStyle w:val="DocumentationHead2"/>
              <w:spacing w:before="0" w:after="0"/>
              <w:rPr>
                <w:rFonts w:ascii="Helvetica" w:hAnsi="Helvetica"/>
                <w:b w:val="0"/>
                <w:sz w:val="24"/>
              </w:rPr>
            </w:pPr>
            <w:r>
              <w:rPr>
                <w:rFonts w:ascii="Helvetica" w:hAnsi="Helvetica"/>
                <w:b w:val="0"/>
                <w:sz w:val="24"/>
              </w:rPr>
              <w:t>6</w:t>
            </w:r>
          </w:p>
        </w:tc>
      </w:tr>
      <w:tr w:rsidR="00444B16" w:rsidTr="00444B16">
        <w:tc>
          <w:tcPr>
            <w:tcW w:w="2695" w:type="dxa"/>
          </w:tcPr>
          <w:p w:rsidR="00444B16" w:rsidRDefault="00444B16" w:rsidP="00A7182B">
            <w:pPr>
              <w:pStyle w:val="DocumentationHead2"/>
              <w:spacing w:before="0" w:after="0"/>
              <w:rPr>
                <w:rFonts w:ascii="Helvetica" w:hAnsi="Helvetica"/>
                <w:b w:val="0"/>
                <w:sz w:val="24"/>
              </w:rPr>
            </w:pPr>
            <w:r>
              <w:rPr>
                <w:rFonts w:ascii="Helvetica" w:hAnsi="Helvetica"/>
                <w:b w:val="0"/>
                <w:sz w:val="24"/>
              </w:rPr>
              <w:t xml:space="preserve">Value </w:t>
            </w:r>
            <w:r w:rsidR="008B559E">
              <w:rPr>
                <w:rFonts w:ascii="Helvetica" w:hAnsi="Helvetica"/>
                <w:b w:val="0"/>
                <w:sz w:val="24"/>
              </w:rPr>
              <w:t>1.05</w:t>
            </w:r>
          </w:p>
        </w:tc>
        <w:tc>
          <w:tcPr>
            <w:tcW w:w="1170" w:type="dxa"/>
            <w:shd w:val="clear" w:color="auto" w:fill="538135" w:themeFill="accent6" w:themeFillShade="BF"/>
          </w:tcPr>
          <w:p w:rsidR="00444B16" w:rsidRDefault="00444B16" w:rsidP="00A7182B">
            <w:pPr>
              <w:pStyle w:val="DocumentationHead2"/>
              <w:spacing w:before="0" w:after="0"/>
              <w:rPr>
                <w:rFonts w:ascii="Helvetica" w:hAnsi="Helvetica"/>
                <w:b w:val="0"/>
                <w:sz w:val="24"/>
              </w:rPr>
            </w:pPr>
            <w:r>
              <w:rPr>
                <w:rFonts w:ascii="Helvetica" w:hAnsi="Helvetica"/>
                <w:b w:val="0"/>
                <w:sz w:val="24"/>
              </w:rPr>
              <w:t>7</w:t>
            </w:r>
          </w:p>
        </w:tc>
      </w:tr>
    </w:tbl>
    <w:p w:rsidR="00444B16" w:rsidRDefault="00444B16" w:rsidP="00A7182B">
      <w:pPr>
        <w:pStyle w:val="DocumentationHead2"/>
        <w:spacing w:before="0" w:after="0"/>
        <w:rPr>
          <w:rFonts w:ascii="Helvetica" w:hAnsi="Helvetica"/>
          <w:b w:val="0"/>
          <w:sz w:val="24"/>
        </w:rPr>
      </w:pPr>
    </w:p>
    <w:p w:rsidR="003D29D0" w:rsidRDefault="00444B16" w:rsidP="00444B16">
      <w:pPr>
        <w:pStyle w:val="DocumentationHead2"/>
        <w:spacing w:before="0" w:after="0"/>
      </w:pPr>
      <w:r>
        <w:rPr>
          <w:noProof/>
        </w:rPr>
        <w:drawing>
          <wp:inline distT="0" distB="0" distL="0" distR="0" wp14:anchorId="04673D4F" wp14:editId="07A7B1C1">
            <wp:extent cx="4362450" cy="3122693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6784" cy="3168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29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1C433D"/>
    <w:multiLevelType w:val="hybridMultilevel"/>
    <w:tmpl w:val="30BA9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965C15"/>
    <w:multiLevelType w:val="hybridMultilevel"/>
    <w:tmpl w:val="154C7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F2599"/>
    <w:multiLevelType w:val="hybridMultilevel"/>
    <w:tmpl w:val="58CCF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C5F"/>
    <w:rsid w:val="002F6CB5"/>
    <w:rsid w:val="003D29D0"/>
    <w:rsid w:val="00406CCE"/>
    <w:rsid w:val="00444B16"/>
    <w:rsid w:val="005C290E"/>
    <w:rsid w:val="00777C5F"/>
    <w:rsid w:val="008B559E"/>
    <w:rsid w:val="00947125"/>
    <w:rsid w:val="00A7182B"/>
    <w:rsid w:val="00FC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8D375"/>
  <w15:chartTrackingRefBased/>
  <w15:docId w15:val="{F5F6FC57-9973-48AE-A6BB-8E2C4B85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ationHead2">
    <w:name w:val="Documentation Head2"/>
    <w:basedOn w:val="Normal"/>
    <w:qFormat/>
    <w:rsid w:val="00777C5F"/>
    <w:pPr>
      <w:keepNext/>
      <w:keepLines/>
      <w:spacing w:before="360" w:after="120"/>
      <w:outlineLvl w:val="0"/>
    </w:pPr>
    <w:rPr>
      <w:rFonts w:ascii="Garamond" w:eastAsiaTheme="majorEastAsia" w:hAnsi="Garamond" w:cstheme="majorBidi"/>
      <w:b/>
      <w:sz w:val="32"/>
      <w:szCs w:val="32"/>
    </w:rPr>
  </w:style>
  <w:style w:type="table" w:styleId="TableGrid">
    <w:name w:val="Table Grid"/>
    <w:basedOn w:val="TableNormal"/>
    <w:uiPriority w:val="39"/>
    <w:rsid w:val="00444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Kagone, Stefanie (Contractor)</dc:creator>
  <cp:keywords/>
  <dc:description/>
  <cp:lastModifiedBy>Kagone, Stefanie (Contractor)</cp:lastModifiedBy>
  <cp:revision>3</cp:revision>
  <dcterms:created xsi:type="dcterms:W3CDTF">2018-10-04T15:19:00Z</dcterms:created>
  <dcterms:modified xsi:type="dcterms:W3CDTF">2019-03-08T20:18:00Z</dcterms:modified>
</cp:coreProperties>
</file>