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2"/>
        <w:keepNext w:val="0"/>
        <w:keepLines w:val="0"/>
        <w:spacing w:after="0" w:before="0" w:line="288" w:lineRule="auto"/>
        <w:rPr>
          <w:rFonts w:ascii="Open Sans" w:cs="Open Sans" w:eastAsia="Open Sans" w:hAnsi="Open Sans"/>
          <w:color w:val="695d46"/>
          <w:sz w:val="24"/>
          <w:szCs w:val="24"/>
        </w:rPr>
      </w:pPr>
      <w:bookmarkStart w:colFirst="0" w:colLast="0" w:name="_qqp3vdrb1vdz" w:id="0"/>
      <w:bookmarkEnd w:id="0"/>
      <w:commentRangeStart w:id="0"/>
      <w:r w:rsidDel="00000000" w:rsidR="00000000" w:rsidRPr="00000000">
        <w:rPr>
          <w:rFonts w:ascii="Open Sans" w:cs="Open Sans" w:eastAsia="Open Sans" w:hAnsi="Open Sans"/>
          <w:color w:val="695d46"/>
          <w:sz w:val="24"/>
          <w:szCs w:val="24"/>
        </w:rPr>
        <w:drawing>
          <wp:inline distB="114300" distT="114300" distL="114300" distR="114300">
            <wp:extent cx="5916349" cy="104775"/>
            <wp:effectExtent b="0" l="0" r="0" t="0"/>
            <wp:docPr descr="horizontal line" id="5" name="image3.png"/>
            <a:graphic>
              <a:graphicData uri="http://schemas.openxmlformats.org/drawingml/2006/picture">
                <pic:pic>
                  <pic:nvPicPr>
                    <pic:cNvPr descr="horizontal line" id="0" name="image3.png"/>
                    <pic:cNvPicPr preferRelativeResize="0"/>
                  </pic:nvPicPr>
                  <pic:blipFill>
                    <a:blip r:embed="rId7"/>
                    <a:srcRect b="-3518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6349" cy="104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1600200</wp:posOffset>
            </wp:positionH>
            <wp:positionV relativeFrom="paragraph">
              <wp:posOffset>190500</wp:posOffset>
            </wp:positionV>
            <wp:extent cx="2626221" cy="823913"/>
            <wp:effectExtent b="0" l="0" r="0" t="0"/>
            <wp:wrapSquare wrapText="bothSides" distB="0" distT="0" distL="0" distR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6221" cy="8239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ab/>
        <w:tab/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widowControl w:val="0"/>
        <w:spacing w:after="0" w:before="0" w:line="312" w:lineRule="auto"/>
        <w:rPr>
          <w:rFonts w:ascii="PT Sans Narrow" w:cs="PT Sans Narrow" w:eastAsia="PT Sans Narrow" w:hAnsi="PT Sans Narrow"/>
          <w:b w:val="1"/>
          <w:color w:val="ff5e0e"/>
          <w:sz w:val="36"/>
          <w:szCs w:val="36"/>
        </w:rPr>
      </w:pPr>
      <w:bookmarkStart w:colFirst="0" w:colLast="0" w:name="_yf9ofuy7wjvp" w:id="1"/>
      <w:bookmarkEnd w:id="1"/>
      <w:r w:rsidDel="00000000" w:rsidR="00000000" w:rsidRPr="00000000">
        <w:rPr>
          <w:rFonts w:ascii="PT Sans Narrow" w:cs="PT Sans Narrow" w:eastAsia="PT Sans Narrow" w:hAnsi="PT Sans Narrow"/>
          <w:b w:val="1"/>
          <w:color w:val="ff5e0e"/>
          <w:sz w:val="36"/>
          <w:szCs w:val="36"/>
          <w:rtl w:val="0"/>
        </w:rPr>
        <w:t xml:space="preserve">Global SSEBop ET update February 2019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In the current process of creating SSEBop ET Version 5, following improvements have been made to the model: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Updated all input data sets to the latest versions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Improved the dT parameter by using a updated incoming solar radiation equation Rs, including an adjustment coefficient kRs ~ 0.16.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Created a new extraterrestrial radiation data set based on a 1km latitude grid instead of 10km. This will make sure all small islands, such as Hawaii or the Florida Keys are included.</w:t>
      </w:r>
    </w:p>
    <w:p w:rsidR="00000000" w:rsidDel="00000000" w:rsidP="00000000" w:rsidRDefault="00000000" w:rsidRPr="00000000" w14:paraId="0000000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0" w:firstLine="0"/>
        <w:rPr/>
      </w:pPr>
      <w:r w:rsidDel="00000000" w:rsidR="00000000" w:rsidRPr="00000000">
        <w:rPr>
          <w:rtl w:val="0"/>
        </w:rPr>
        <w:t xml:space="preserve">The ETf calculation is the same, including the following steps:</w:t>
      </w:r>
    </w:p>
    <w:p w:rsidR="00000000" w:rsidDel="00000000" w:rsidP="00000000" w:rsidRDefault="00000000" w:rsidRPr="00000000" w14:paraId="00000010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Cap dT raster between 6 and 25 K</w:t>
      </w:r>
    </w:p>
    <w:p w:rsidR="00000000" w:rsidDel="00000000" w:rsidP="00000000" w:rsidRDefault="00000000" w:rsidRPr="00000000" w14:paraId="00000011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Create Tcold with Tmax * c factor</w:t>
      </w:r>
    </w:p>
    <w:p w:rsidR="00000000" w:rsidDel="00000000" w:rsidP="00000000" w:rsidRDefault="00000000" w:rsidRPr="00000000" w14:paraId="00000012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Create Thot with Tcold + limited dT raster</w:t>
      </w:r>
    </w:p>
    <w:p w:rsidR="00000000" w:rsidDel="00000000" w:rsidP="00000000" w:rsidRDefault="00000000" w:rsidRPr="00000000" w14:paraId="00000013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Albedo corrected LSTa</w:t>
      </w:r>
    </w:p>
    <w:p w:rsidR="00000000" w:rsidDel="00000000" w:rsidP="00000000" w:rsidRDefault="00000000" w:rsidRPr="00000000" w14:paraId="00000014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Emissivity corrected LSTe</w:t>
      </w:r>
    </w:p>
    <w:p w:rsidR="00000000" w:rsidDel="00000000" w:rsidP="00000000" w:rsidRDefault="00000000" w:rsidRPr="00000000" w14:paraId="00000015">
      <w:pPr>
        <w:ind w:left="720" w:firstLine="0"/>
        <w:rPr/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</w:t>
      </w:r>
      <w:r w:rsidDel="00000000" w:rsidR="00000000" w:rsidRPr="00000000">
        <w:rPr>
          <w:rtl w:val="0"/>
        </w:rPr>
        <w:t xml:space="preserve">Calculate ETf = (Thot – LSTe) / limited dT raster</w:t>
      </w:r>
    </w:p>
    <w:p w:rsidR="00000000" w:rsidDel="00000000" w:rsidP="00000000" w:rsidRDefault="00000000" w:rsidRPr="00000000" w14:paraId="00000016">
      <w:pPr>
        <w:ind w:left="0" w:firstLine="0"/>
        <w:rPr/>
      </w:pPr>
      <w:r w:rsidDel="00000000" w:rsidR="00000000" w:rsidRPr="00000000">
        <w:rPr>
          <w:rtl w:val="0"/>
        </w:rPr>
        <w:t xml:space="preserve">After the ETf data set is created, the PAPA algorithm is applied to high values above 1.3. High values are present in areas where the difference between Thot – LSTe is significantly higher than the dT. Reasons here fore include cloud contamination and input data error.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324100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This step includes a new QA raster providing information about what pixels where “good” (orange) and which ones got replaced with what value.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33425" cy="781050"/>
            <wp:effectExtent b="0" l="0" r="0" t="0"/>
            <wp:wrapTopAndBottom distB="0" dist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81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324100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4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Currently we are processing the actual ET for every year. This is an example of a preliminary annual ET grid for 2016.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  <w:t xml:space="preserve">We used following math to arrive at this ETa:</w:t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ETax = corrected ETf * reference ET same as in Version 4)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  <w:t xml:space="preserve">Conditions applied:</w:t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ETax * kgrid  → for preliminary results we use a k value of 1.0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  <w:t xml:space="preserve">Desert mask and water mask are applied to adjust those features. 32% of ETax in desert areas and 85% of ETax for water. </w:t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/>
        <w:drawing>
          <wp:inline distB="114300" distT="114300" distL="114300" distR="114300">
            <wp:extent cx="6418646" cy="2767013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18646" cy="2767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/>
        <w:drawing>
          <wp:inline distB="114300" distT="114300" distL="114300" distR="114300">
            <wp:extent cx="838200" cy="8001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0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Map of desert (grey) and water (blue) areas adjusted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425700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25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  <w:t xml:space="preserve">Next steps are evaluating preliminary data and determine final parameters such as the k value(s).</w:t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comment w:author="Gabriel Senay" w:id="0" w:date="2019-02-27T23:21:19Z">
    <w:p w:rsidR="00000000" w:rsidDel="00000000" w:rsidP="00000000" w:rsidRDefault="00000000" w:rsidRPr="00000000" w14:paraId="0000002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This is great! We will work on this towards a manuscript!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Arial Unicode MS"/>
  <w:font w:name="PT Sans Narrow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png"/><Relationship Id="rId10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image" Target="media/image6.png"/><Relationship Id="rId14" Type="http://schemas.openxmlformats.org/officeDocument/2006/relationships/image" Target="media/image7.png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TSansNarrow-regular.ttf"/><Relationship Id="rId2" Type="http://schemas.openxmlformats.org/officeDocument/2006/relationships/font" Target="fonts/PTSansNarrow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